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16FB3C8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2000A048" w:rsidR="003B1E50" w:rsidRPr="00B91964" w:rsidRDefault="008474B3">
            <w:pPr>
              <w:rPr>
                <w:rFonts w:asciiTheme="minorHAnsi" w:hAnsiTheme="minorHAnsi" w:cstheme="minorHAnsi"/>
              </w:rPr>
            </w:pPr>
            <w:r>
              <w:rPr>
                <w:rFonts w:asciiTheme="minorHAnsi" w:hAnsiTheme="minorHAnsi" w:cstheme="minorHAnsi"/>
              </w:rPr>
              <w:t>Scheme of Delegation</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CF0F1FD" w:rsidR="003B1E50" w:rsidRPr="00B91964" w:rsidRDefault="00CA6646">
            <w:pPr>
              <w:rPr>
                <w:rFonts w:asciiTheme="minorHAnsi" w:hAnsiTheme="minorHAnsi" w:cstheme="minorHAnsi"/>
              </w:rPr>
            </w:pPr>
            <w:r>
              <w:rPr>
                <w:rFonts w:asciiTheme="minorHAnsi" w:hAnsiTheme="minorHAnsi" w:cstheme="minorHAnsi"/>
              </w:rPr>
              <w:t>Governance</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6AE84B00" w:rsidR="003B1E50" w:rsidRPr="00B91964" w:rsidRDefault="000E4EB1">
            <w:pPr>
              <w:rPr>
                <w:rFonts w:asciiTheme="minorHAnsi" w:hAnsiTheme="minorHAnsi" w:cstheme="minorHAnsi"/>
              </w:rPr>
            </w:pPr>
            <w:r>
              <w:rPr>
                <w:rFonts w:asciiTheme="minorHAnsi" w:hAnsiTheme="minorHAnsi" w:cstheme="minorHAnsi"/>
              </w:rPr>
              <w:t>CS</w:t>
            </w:r>
            <w:r w:rsidR="009317D5">
              <w:rPr>
                <w:rFonts w:asciiTheme="minorHAnsi" w:hAnsiTheme="minorHAnsi" w:cstheme="minorHAnsi"/>
              </w:rPr>
              <w:t>27</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0026D1A7" w:rsidR="003B1E50" w:rsidRPr="00B91964" w:rsidRDefault="00CA6646">
            <w:pPr>
              <w:rPr>
                <w:rFonts w:asciiTheme="minorHAnsi" w:hAnsiTheme="minorHAnsi" w:cstheme="minorHAnsi"/>
              </w:rPr>
            </w:pPr>
            <w:r>
              <w:rPr>
                <w:rFonts w:asciiTheme="minorHAnsi" w:hAnsiTheme="minorHAnsi" w:cstheme="minorHAnsi"/>
              </w:rPr>
              <w:t>26 October 2022</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4EB01BD0" w:rsidR="003B1E50" w:rsidRPr="00B91964" w:rsidRDefault="00CA6646">
            <w:pPr>
              <w:rPr>
                <w:rFonts w:asciiTheme="minorHAnsi" w:hAnsiTheme="minorHAnsi" w:cstheme="minorHAnsi"/>
              </w:rPr>
            </w:pPr>
            <w:r>
              <w:rPr>
                <w:rFonts w:asciiTheme="minorHAnsi" w:hAnsiTheme="minorHAnsi" w:cstheme="minorHAnsi"/>
              </w:rPr>
              <w:t>n/a</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7F376C29" w:rsidR="003B1E50" w:rsidRPr="00B91964" w:rsidRDefault="00F42577">
            <w:pPr>
              <w:rPr>
                <w:rFonts w:asciiTheme="minorHAnsi" w:hAnsiTheme="minorHAnsi" w:cstheme="minorHAnsi"/>
              </w:rPr>
            </w:pPr>
            <w:r>
              <w:rPr>
                <w:rFonts w:asciiTheme="minorHAnsi" w:hAnsiTheme="minorHAnsi" w:cstheme="minorHAnsi"/>
              </w:rPr>
              <w:t xml:space="preserve">27 September 2023 </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52090A1B" w:rsidR="003B1E50" w:rsidRPr="00B91964" w:rsidRDefault="00F42577">
            <w:pPr>
              <w:rPr>
                <w:rFonts w:asciiTheme="minorHAnsi" w:hAnsiTheme="minorHAnsi" w:cstheme="minorHAnsi"/>
              </w:rPr>
            </w:pPr>
            <w:r>
              <w:rPr>
                <w:rFonts w:asciiTheme="minorHAnsi" w:hAnsiTheme="minorHAnsi" w:cstheme="minorHAnsi"/>
              </w:rPr>
              <w:t xml:space="preserve">September </w:t>
            </w:r>
            <w:r w:rsidR="00CA6646">
              <w:rPr>
                <w:rFonts w:asciiTheme="minorHAnsi" w:hAnsiTheme="minorHAnsi" w:cstheme="minorHAnsi"/>
              </w:rPr>
              <w:t>202</w:t>
            </w:r>
            <w:r>
              <w:rPr>
                <w:rFonts w:asciiTheme="minorHAnsi" w:hAnsiTheme="minorHAnsi" w:cstheme="minorHAnsi"/>
              </w:rPr>
              <w:t>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120AF907" w:rsidR="00B91964" w:rsidRPr="00B91964" w:rsidRDefault="00CA6646">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10F885AC" w14:textId="7804B661" w:rsidR="00E25EDF" w:rsidRDefault="00E25EDF" w:rsidP="00152CFC">
            <w:pPr>
              <w:pStyle w:val="ListParagraph"/>
              <w:numPr>
                <w:ilvl w:val="0"/>
                <w:numId w:val="1"/>
              </w:numPr>
              <w:rPr>
                <w:rFonts w:asciiTheme="minorHAnsi" w:hAnsiTheme="minorHAnsi" w:cstheme="minorHAnsi"/>
              </w:rPr>
            </w:pPr>
            <w:r>
              <w:rPr>
                <w:rFonts w:asciiTheme="minorHAnsi" w:hAnsiTheme="minorHAnsi" w:cstheme="minorHAnsi"/>
              </w:rPr>
              <w:t>Financial Regulations</w:t>
            </w:r>
          </w:p>
          <w:p w14:paraId="3D01729E" w14:textId="742D829C" w:rsidR="008474B3" w:rsidRDefault="008474B3" w:rsidP="00152CFC">
            <w:pPr>
              <w:pStyle w:val="ListParagraph"/>
              <w:numPr>
                <w:ilvl w:val="0"/>
                <w:numId w:val="1"/>
              </w:numPr>
              <w:rPr>
                <w:rFonts w:asciiTheme="minorHAnsi" w:hAnsiTheme="minorHAnsi" w:cstheme="minorHAnsi"/>
              </w:rPr>
            </w:pPr>
            <w:r>
              <w:rPr>
                <w:rFonts w:asciiTheme="minorHAnsi" w:hAnsiTheme="minorHAnsi" w:cstheme="minorHAnsi"/>
              </w:rPr>
              <w:t>Board Terms of Reference/Remit</w:t>
            </w:r>
          </w:p>
          <w:p w14:paraId="2A2AD801" w14:textId="526D0FBC" w:rsidR="00A55FE8" w:rsidRDefault="00740EF3" w:rsidP="00152CFC">
            <w:pPr>
              <w:pStyle w:val="ListParagraph"/>
              <w:numPr>
                <w:ilvl w:val="0"/>
                <w:numId w:val="1"/>
              </w:numPr>
              <w:rPr>
                <w:rFonts w:asciiTheme="minorHAnsi" w:hAnsiTheme="minorHAnsi" w:cstheme="minorHAnsi"/>
              </w:rPr>
            </w:pPr>
            <w:r>
              <w:rPr>
                <w:rFonts w:asciiTheme="minorHAnsi" w:hAnsiTheme="minorHAnsi" w:cstheme="minorHAnsi"/>
              </w:rPr>
              <w:t>Finance &amp; Corporate Services</w:t>
            </w:r>
            <w:r w:rsidR="00CA6646">
              <w:rPr>
                <w:rFonts w:asciiTheme="minorHAnsi" w:hAnsiTheme="minorHAnsi" w:cstheme="minorHAnsi"/>
              </w:rPr>
              <w:t xml:space="preserve"> </w:t>
            </w:r>
            <w:r w:rsidR="00F92988">
              <w:rPr>
                <w:rFonts w:asciiTheme="minorHAnsi" w:hAnsiTheme="minorHAnsi" w:cstheme="minorHAnsi"/>
              </w:rPr>
              <w:t xml:space="preserve">Sub-Committee </w:t>
            </w:r>
            <w:r w:rsidR="00CA6646">
              <w:rPr>
                <w:rFonts w:asciiTheme="minorHAnsi" w:hAnsiTheme="minorHAnsi" w:cstheme="minorHAnsi"/>
              </w:rPr>
              <w:t>Terms of Reference</w:t>
            </w:r>
            <w:r w:rsidR="00E71DE9">
              <w:rPr>
                <w:rFonts w:asciiTheme="minorHAnsi" w:hAnsiTheme="minorHAnsi" w:cstheme="minorHAnsi"/>
              </w:rPr>
              <w:t>/Remit</w:t>
            </w:r>
          </w:p>
          <w:p w14:paraId="3CF6E09F" w14:textId="3079F9B3" w:rsidR="00CA6646" w:rsidRPr="008474B3" w:rsidRDefault="00CA6646" w:rsidP="008474B3">
            <w:pPr>
              <w:pStyle w:val="ListParagraph"/>
              <w:numPr>
                <w:ilvl w:val="0"/>
                <w:numId w:val="1"/>
              </w:numPr>
              <w:rPr>
                <w:rFonts w:asciiTheme="minorHAnsi" w:hAnsiTheme="minorHAnsi" w:cstheme="minorHAnsi"/>
              </w:rPr>
            </w:pPr>
            <w:r>
              <w:rPr>
                <w:rFonts w:asciiTheme="minorHAnsi" w:hAnsiTheme="minorHAnsi" w:cstheme="minorHAnsi"/>
              </w:rPr>
              <w:t>Housing, Land &amp; Property Sub-Committee Terms of Reference</w:t>
            </w:r>
            <w:r w:rsidR="00E71DE9">
              <w:rPr>
                <w:rFonts w:asciiTheme="minorHAnsi" w:hAnsiTheme="minorHAnsi" w:cstheme="minorHAnsi"/>
              </w:rPr>
              <w:t>/Remit</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167734F6" w:rsidR="0061505F" w:rsidRPr="0061505F" w:rsidRDefault="00CA6646"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0581B4CB" w14:textId="3DC86D82" w:rsidR="00CA6646" w:rsidRPr="00CA6646" w:rsidRDefault="00CA6646" w:rsidP="00CA6646">
      <w:pPr>
        <w:pStyle w:val="Heading1"/>
        <w:rPr>
          <w:rFonts w:asciiTheme="minorHAnsi" w:hAnsiTheme="minorHAnsi" w:cstheme="minorHAnsi"/>
          <w:sz w:val="22"/>
          <w:szCs w:val="22"/>
          <w:u w:val="none"/>
        </w:rPr>
      </w:pPr>
      <w:r w:rsidRPr="00CA6646">
        <w:rPr>
          <w:rFonts w:asciiTheme="minorHAnsi" w:hAnsiTheme="minorHAnsi" w:cstheme="minorHAnsi"/>
          <w:sz w:val="22"/>
          <w:szCs w:val="22"/>
          <w:u w:val="none"/>
        </w:rPr>
        <w:lastRenderedPageBreak/>
        <w:t>1.0</w:t>
      </w:r>
      <w:r w:rsidRPr="00CA6646">
        <w:rPr>
          <w:rFonts w:asciiTheme="minorHAnsi" w:hAnsiTheme="minorHAnsi" w:cstheme="minorHAnsi"/>
          <w:sz w:val="22"/>
          <w:szCs w:val="22"/>
          <w:u w:val="none"/>
        </w:rPr>
        <w:tab/>
      </w:r>
      <w:r w:rsidR="008474B3">
        <w:rPr>
          <w:rFonts w:asciiTheme="minorHAnsi" w:hAnsiTheme="minorHAnsi" w:cstheme="minorHAnsi"/>
          <w:sz w:val="22"/>
          <w:szCs w:val="22"/>
          <w:u w:val="none"/>
        </w:rPr>
        <w:t>INTRODUCTION</w:t>
      </w:r>
    </w:p>
    <w:p w14:paraId="529CC7AE" w14:textId="77777777" w:rsidR="008474B3" w:rsidRPr="008474B3" w:rsidRDefault="008474B3" w:rsidP="008474B3">
      <w:pPr>
        <w:spacing w:after="0" w:line="240" w:lineRule="auto"/>
        <w:ind w:left="715" w:hanging="720"/>
        <w:rPr>
          <w:rFonts w:asciiTheme="minorHAnsi" w:hAnsiTheme="minorHAnsi" w:cstheme="minorHAnsi"/>
          <w:sz w:val="22"/>
        </w:rPr>
      </w:pPr>
      <w:r w:rsidRPr="008474B3">
        <w:rPr>
          <w:rFonts w:asciiTheme="minorHAnsi" w:hAnsiTheme="minorHAnsi" w:cstheme="minorHAnsi"/>
          <w:sz w:val="22"/>
        </w:rPr>
        <w:t>1.1</w:t>
      </w:r>
      <w:r w:rsidRPr="008474B3">
        <w:rPr>
          <w:rFonts w:asciiTheme="minorHAnsi" w:hAnsiTheme="minorHAnsi" w:cstheme="minorHAnsi"/>
          <w:sz w:val="22"/>
        </w:rPr>
        <w:tab/>
        <w:t xml:space="preserve">This scheme of delegation is intended to ensure that the work of Bridgewater Housing Association is carried out efficiently and effectively, within the strategic and policy frameworks agreed by the Board of Bridgewater Housing Association.  Within this Scheme, the CEO and Leadership Team may delegate to members of their staff teams, in accordance with job descriptions.  This Scheme of Delegation forms part of Bridgewater’s Standing Orders.  Alternations to the scheme can only be done with the approval of the Board. </w:t>
      </w:r>
    </w:p>
    <w:p w14:paraId="63A55173" w14:textId="77777777" w:rsidR="008474B3" w:rsidRPr="008474B3" w:rsidRDefault="008474B3" w:rsidP="008474B3">
      <w:pPr>
        <w:spacing w:after="0" w:line="240" w:lineRule="auto"/>
        <w:rPr>
          <w:rFonts w:asciiTheme="minorHAnsi" w:hAnsiTheme="minorHAnsi" w:cstheme="minorHAnsi"/>
          <w:sz w:val="22"/>
        </w:rPr>
      </w:pPr>
      <w:r w:rsidRPr="008474B3">
        <w:rPr>
          <w:rFonts w:asciiTheme="minorHAnsi" w:hAnsiTheme="minorHAnsi" w:cstheme="minorHAnsi"/>
          <w:sz w:val="22"/>
        </w:rPr>
        <w:t xml:space="preserve"> </w:t>
      </w:r>
    </w:p>
    <w:p w14:paraId="7689A62B" w14:textId="3C09A19F" w:rsidR="008474B3" w:rsidRDefault="008474B3" w:rsidP="008474B3">
      <w:pPr>
        <w:spacing w:after="0" w:line="240" w:lineRule="auto"/>
        <w:ind w:left="715" w:hanging="720"/>
        <w:rPr>
          <w:rFonts w:asciiTheme="minorHAnsi" w:hAnsiTheme="minorHAnsi" w:cstheme="minorHAnsi"/>
          <w:sz w:val="22"/>
        </w:rPr>
      </w:pPr>
      <w:r w:rsidRPr="008474B3">
        <w:rPr>
          <w:rFonts w:asciiTheme="minorHAnsi" w:hAnsiTheme="minorHAnsi" w:cstheme="minorHAnsi"/>
          <w:sz w:val="22"/>
        </w:rPr>
        <w:t>1.2</w:t>
      </w:r>
      <w:r w:rsidRPr="008474B3">
        <w:rPr>
          <w:rFonts w:asciiTheme="minorHAnsi" w:hAnsiTheme="minorHAnsi" w:cstheme="minorHAnsi"/>
          <w:sz w:val="22"/>
        </w:rPr>
        <w:tab/>
        <w:t>This Scheme of Delegation accompanies Bridgewater’s Standing Orders, the agreed remits for the Board and sub-committees and by the role descriptions for office bearers and the CEO.</w:t>
      </w:r>
      <w:r w:rsidR="00E25EDF">
        <w:rPr>
          <w:rFonts w:asciiTheme="minorHAnsi" w:hAnsiTheme="minorHAnsi" w:cstheme="minorHAnsi"/>
          <w:sz w:val="22"/>
        </w:rPr>
        <w:t xml:space="preserve">  This document should be read in conjunction with the Association’s Financial Regulations which provide specific guidance on cost limits for relevant staff members, sub committee and Board members.</w:t>
      </w:r>
    </w:p>
    <w:p w14:paraId="7E774058" w14:textId="77777777" w:rsidR="008474B3" w:rsidRDefault="008474B3" w:rsidP="008474B3">
      <w:pPr>
        <w:spacing w:after="0" w:line="240" w:lineRule="auto"/>
        <w:ind w:left="-5"/>
        <w:rPr>
          <w:rFonts w:asciiTheme="minorHAnsi" w:hAnsiTheme="minorHAnsi" w:cstheme="minorHAnsi"/>
          <w:sz w:val="22"/>
        </w:rPr>
      </w:pPr>
    </w:p>
    <w:p w14:paraId="20FB73D4" w14:textId="10BEB01F" w:rsidR="008474B3" w:rsidRPr="008474B3" w:rsidRDefault="008474B3" w:rsidP="008474B3">
      <w:pPr>
        <w:spacing w:after="0" w:line="240" w:lineRule="auto"/>
        <w:ind w:left="-5"/>
        <w:rPr>
          <w:rFonts w:asciiTheme="minorHAnsi" w:hAnsiTheme="minorHAnsi" w:cstheme="minorHAnsi"/>
          <w:sz w:val="22"/>
        </w:rPr>
      </w:pPr>
      <w:r w:rsidRPr="008474B3">
        <w:rPr>
          <w:rFonts w:asciiTheme="minorHAnsi" w:hAnsiTheme="minorHAnsi" w:cstheme="minorHAnsi"/>
          <w:sz w:val="22"/>
        </w:rPr>
        <w:t>1.3</w:t>
      </w:r>
      <w:r w:rsidRPr="008474B3">
        <w:rPr>
          <w:rFonts w:asciiTheme="minorHAnsi" w:hAnsiTheme="minorHAnsi" w:cstheme="minorHAnsi"/>
          <w:sz w:val="22"/>
        </w:rPr>
        <w:tab/>
      </w:r>
      <w:r w:rsidRPr="008474B3">
        <w:rPr>
          <w:rFonts w:asciiTheme="minorHAnsi" w:hAnsiTheme="minorHAnsi" w:cstheme="minorHAnsi"/>
          <w:b/>
          <w:sz w:val="22"/>
        </w:rPr>
        <w:t>Office Bearers</w:t>
      </w:r>
      <w:r w:rsidRPr="008474B3">
        <w:rPr>
          <w:rFonts w:asciiTheme="minorHAnsi" w:hAnsiTheme="minorHAnsi" w:cstheme="minorHAnsi"/>
          <w:sz w:val="22"/>
        </w:rPr>
        <w:t xml:space="preserve">, acting with Leadership Team, have authority to  </w:t>
      </w:r>
    </w:p>
    <w:p w14:paraId="69975598"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Represent Bridgewater HA on official business, consistent with agreed policies and principles </w:t>
      </w:r>
    </w:p>
    <w:p w14:paraId="6DBB904B"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Implement agreed emergency procedures and the provisions of Bridgewater HA’s Business Continuity Policy </w:t>
      </w:r>
    </w:p>
    <w:p w14:paraId="4F9B728C"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Take urgent decisions and/or action between meetings, in consultation with the CEO </w:t>
      </w:r>
    </w:p>
    <w:p w14:paraId="198654E1"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Take decisions on specific issues between meetings having delegated those decisions to one or more office bearers by the Board. </w:t>
      </w:r>
    </w:p>
    <w:p w14:paraId="5173046B" w14:textId="77777777" w:rsidR="008474B3" w:rsidRPr="008474B3" w:rsidRDefault="008474B3" w:rsidP="008474B3">
      <w:pPr>
        <w:spacing w:after="0" w:line="240" w:lineRule="auto"/>
        <w:ind w:left="720"/>
        <w:rPr>
          <w:rFonts w:asciiTheme="minorHAnsi" w:hAnsiTheme="minorHAnsi" w:cstheme="minorHAnsi"/>
          <w:sz w:val="22"/>
        </w:rPr>
      </w:pPr>
      <w:r w:rsidRPr="008474B3">
        <w:rPr>
          <w:rFonts w:asciiTheme="minorHAnsi" w:hAnsiTheme="minorHAnsi" w:cstheme="minorHAnsi"/>
          <w:sz w:val="22"/>
        </w:rPr>
        <w:t xml:space="preserve"> </w:t>
      </w:r>
    </w:p>
    <w:p w14:paraId="447D5E0E" w14:textId="77777777" w:rsidR="008474B3" w:rsidRPr="008474B3" w:rsidRDefault="008474B3" w:rsidP="008474B3">
      <w:pPr>
        <w:spacing w:after="0" w:line="240" w:lineRule="auto"/>
        <w:ind w:left="715" w:hanging="720"/>
        <w:rPr>
          <w:rFonts w:asciiTheme="minorHAnsi" w:hAnsiTheme="minorHAnsi" w:cstheme="minorHAnsi"/>
          <w:sz w:val="22"/>
        </w:rPr>
      </w:pPr>
      <w:r w:rsidRPr="008474B3">
        <w:rPr>
          <w:rFonts w:asciiTheme="minorHAnsi" w:hAnsiTheme="minorHAnsi" w:cstheme="minorHAnsi"/>
          <w:sz w:val="22"/>
        </w:rPr>
        <w:t>1.4</w:t>
      </w:r>
      <w:r w:rsidRPr="008474B3">
        <w:rPr>
          <w:rFonts w:asciiTheme="minorHAnsi" w:hAnsiTheme="minorHAnsi" w:cstheme="minorHAnsi"/>
          <w:sz w:val="22"/>
        </w:rPr>
        <w:tab/>
        <w:t xml:space="preserve">The Board delegates operational powers to the CEO who may take whatever action they consider necessary to ensure the efficient and effective management of Bridgewater’s affairs, without further reference to the Board or any of Bridgewater’s sub-committees.  All actions must be in accordance with Bridgewater’s Standing Orders, Financial Regulations and Scheme of Delegation.  The CEO may delegate to Managers and other senior officers, in accordance with approved job descriptions. </w:t>
      </w:r>
    </w:p>
    <w:p w14:paraId="188E091E" w14:textId="77777777" w:rsidR="008474B3" w:rsidRPr="008474B3" w:rsidRDefault="008474B3" w:rsidP="008474B3">
      <w:pPr>
        <w:spacing w:after="0" w:line="240" w:lineRule="auto"/>
        <w:rPr>
          <w:rFonts w:asciiTheme="minorHAnsi" w:hAnsiTheme="minorHAnsi" w:cstheme="minorHAnsi"/>
          <w:sz w:val="22"/>
        </w:rPr>
      </w:pPr>
      <w:r w:rsidRPr="008474B3">
        <w:rPr>
          <w:rFonts w:asciiTheme="minorHAnsi" w:hAnsiTheme="minorHAnsi" w:cstheme="minorHAnsi"/>
          <w:sz w:val="22"/>
        </w:rPr>
        <w:t xml:space="preserve"> </w:t>
      </w:r>
    </w:p>
    <w:p w14:paraId="1C00890F" w14:textId="77777777" w:rsidR="008474B3" w:rsidRPr="008474B3" w:rsidRDefault="008474B3" w:rsidP="008474B3">
      <w:pPr>
        <w:spacing w:after="0" w:line="240" w:lineRule="auto"/>
        <w:ind w:left="-5"/>
        <w:rPr>
          <w:rFonts w:asciiTheme="minorHAnsi" w:hAnsiTheme="minorHAnsi" w:cstheme="minorHAnsi"/>
          <w:sz w:val="22"/>
        </w:rPr>
      </w:pPr>
      <w:r w:rsidRPr="008474B3">
        <w:rPr>
          <w:rFonts w:asciiTheme="minorHAnsi" w:hAnsiTheme="minorHAnsi" w:cstheme="minorHAnsi"/>
          <w:sz w:val="22"/>
        </w:rPr>
        <w:t xml:space="preserve"> 1.5</w:t>
      </w:r>
      <w:r w:rsidRPr="008474B3">
        <w:rPr>
          <w:rFonts w:asciiTheme="minorHAnsi" w:hAnsiTheme="minorHAnsi" w:cstheme="minorHAnsi"/>
          <w:sz w:val="22"/>
        </w:rPr>
        <w:tab/>
        <w:t xml:space="preserve">The </w:t>
      </w:r>
      <w:r w:rsidRPr="008474B3">
        <w:rPr>
          <w:rFonts w:asciiTheme="minorHAnsi" w:hAnsiTheme="minorHAnsi" w:cstheme="minorHAnsi"/>
          <w:b/>
          <w:sz w:val="22"/>
        </w:rPr>
        <w:t>CEO</w:t>
      </w:r>
      <w:r w:rsidRPr="008474B3">
        <w:rPr>
          <w:rFonts w:asciiTheme="minorHAnsi" w:hAnsiTheme="minorHAnsi" w:cstheme="minorHAnsi"/>
          <w:sz w:val="22"/>
        </w:rPr>
        <w:t xml:space="preserve">, in consultation with Leadership Team has authority to: </w:t>
      </w:r>
    </w:p>
    <w:p w14:paraId="5B96D106"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Ensure the effective implementation of Bridgewater HA’s strategies, policies and plans.  </w:t>
      </w:r>
    </w:p>
    <w:p w14:paraId="43DDC572"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Represent Bridgewater HA on official business, consistent with agreed policies and principles. </w:t>
      </w:r>
    </w:p>
    <w:p w14:paraId="2DEC8054" w14:textId="77777777" w:rsidR="008474B3" w:rsidRPr="008474B3" w:rsidRDefault="008474B3" w:rsidP="008474B3">
      <w:pPr>
        <w:numPr>
          <w:ilvl w:val="0"/>
          <w:numId w:val="18"/>
        </w:numPr>
        <w:spacing w:after="0" w:line="240" w:lineRule="auto"/>
        <w:ind w:hanging="360"/>
        <w:rPr>
          <w:rFonts w:asciiTheme="minorHAnsi" w:hAnsiTheme="minorHAnsi" w:cstheme="minorHAnsi"/>
          <w:sz w:val="22"/>
        </w:rPr>
      </w:pPr>
      <w:r w:rsidRPr="008474B3">
        <w:rPr>
          <w:rFonts w:asciiTheme="minorHAnsi" w:hAnsiTheme="minorHAnsi" w:cstheme="minorHAnsi"/>
          <w:sz w:val="22"/>
        </w:rPr>
        <w:t xml:space="preserve">Carry out all necessary legal and financial duties to ensure Bridgewater HA’s compliance with statutory and regulatory requirements. </w:t>
      </w:r>
    </w:p>
    <w:p w14:paraId="6503EF27" w14:textId="77777777" w:rsidR="008474B3" w:rsidRPr="008474B3" w:rsidRDefault="008474B3" w:rsidP="008474B3">
      <w:pPr>
        <w:spacing w:after="0" w:line="240" w:lineRule="auto"/>
        <w:ind w:left="720"/>
        <w:rPr>
          <w:rFonts w:asciiTheme="minorHAnsi" w:hAnsiTheme="minorHAnsi" w:cstheme="minorHAnsi"/>
          <w:sz w:val="22"/>
        </w:rPr>
      </w:pPr>
    </w:p>
    <w:p w14:paraId="62FAA6CC" w14:textId="77777777" w:rsidR="008474B3" w:rsidRPr="008474B3" w:rsidRDefault="008474B3" w:rsidP="008474B3">
      <w:pPr>
        <w:spacing w:after="0" w:line="240" w:lineRule="auto"/>
        <w:ind w:left="720" w:hanging="720"/>
        <w:jc w:val="both"/>
        <w:rPr>
          <w:rFonts w:asciiTheme="minorHAnsi" w:hAnsiTheme="minorHAnsi" w:cstheme="minorHAnsi"/>
          <w:sz w:val="22"/>
        </w:rPr>
      </w:pPr>
      <w:r w:rsidRPr="008474B3">
        <w:rPr>
          <w:rFonts w:asciiTheme="minorHAnsi" w:hAnsiTheme="minorHAnsi" w:cstheme="minorHAnsi"/>
          <w:sz w:val="22"/>
        </w:rPr>
        <w:t>1.6</w:t>
      </w:r>
      <w:r w:rsidRPr="008474B3">
        <w:rPr>
          <w:rFonts w:asciiTheme="minorHAnsi" w:hAnsiTheme="minorHAnsi" w:cstheme="minorHAnsi"/>
          <w:sz w:val="22"/>
        </w:rPr>
        <w:tab/>
        <w:t>In exceptional circumstances, prompt action can be taken without board authority e.g.</w:t>
      </w:r>
    </w:p>
    <w:p w14:paraId="44DDD513" w14:textId="77777777" w:rsidR="008474B3" w:rsidRPr="008474B3" w:rsidRDefault="008474B3" w:rsidP="008474B3">
      <w:pPr>
        <w:spacing w:after="0" w:line="240" w:lineRule="auto"/>
        <w:jc w:val="both"/>
        <w:rPr>
          <w:rFonts w:asciiTheme="minorHAnsi" w:hAnsiTheme="minorHAnsi" w:cstheme="minorHAnsi"/>
          <w:sz w:val="22"/>
        </w:rPr>
      </w:pPr>
    </w:p>
    <w:p w14:paraId="0D440223" w14:textId="77777777" w:rsidR="008474B3" w:rsidRPr="008474B3" w:rsidRDefault="008474B3" w:rsidP="008474B3">
      <w:pPr>
        <w:pStyle w:val="ListParagraph"/>
        <w:numPr>
          <w:ilvl w:val="0"/>
          <w:numId w:val="19"/>
        </w:numPr>
        <w:jc w:val="both"/>
        <w:rPr>
          <w:rFonts w:asciiTheme="minorHAnsi" w:hAnsiTheme="minorHAnsi" w:cstheme="minorHAnsi"/>
          <w:sz w:val="22"/>
          <w:szCs w:val="22"/>
        </w:rPr>
      </w:pPr>
      <w:r w:rsidRPr="008474B3">
        <w:rPr>
          <w:rFonts w:asciiTheme="minorHAnsi" w:hAnsiTheme="minorHAnsi" w:cstheme="minorHAnsi"/>
          <w:sz w:val="22"/>
          <w:szCs w:val="22"/>
        </w:rPr>
        <w:t>Urgent health and safety issue needs prompt resolution</w:t>
      </w:r>
    </w:p>
    <w:p w14:paraId="0512B017" w14:textId="77777777" w:rsidR="008474B3" w:rsidRPr="008474B3" w:rsidRDefault="008474B3" w:rsidP="008474B3">
      <w:pPr>
        <w:pStyle w:val="ListParagraph"/>
        <w:numPr>
          <w:ilvl w:val="0"/>
          <w:numId w:val="19"/>
        </w:numPr>
        <w:jc w:val="both"/>
        <w:rPr>
          <w:rFonts w:asciiTheme="minorHAnsi" w:hAnsiTheme="minorHAnsi" w:cstheme="minorHAnsi"/>
          <w:sz w:val="22"/>
          <w:szCs w:val="22"/>
        </w:rPr>
      </w:pPr>
      <w:r w:rsidRPr="008474B3">
        <w:rPr>
          <w:rFonts w:asciiTheme="minorHAnsi" w:hAnsiTheme="minorHAnsi" w:cstheme="minorHAnsi"/>
          <w:sz w:val="22"/>
          <w:szCs w:val="22"/>
        </w:rPr>
        <w:t>Failing to act would result in significant cost to the Association e.g. flooding to the Server Room etc</w:t>
      </w:r>
    </w:p>
    <w:p w14:paraId="38FA1EC0" w14:textId="77777777" w:rsidR="008474B3" w:rsidRPr="008474B3" w:rsidRDefault="008474B3" w:rsidP="008474B3">
      <w:pPr>
        <w:spacing w:after="0" w:line="240" w:lineRule="auto"/>
        <w:jc w:val="both"/>
        <w:rPr>
          <w:rFonts w:asciiTheme="minorHAnsi" w:hAnsiTheme="minorHAnsi" w:cstheme="minorHAnsi"/>
          <w:sz w:val="22"/>
        </w:rPr>
      </w:pPr>
    </w:p>
    <w:p w14:paraId="6E7A6EA9" w14:textId="77777777" w:rsidR="008474B3" w:rsidRPr="008474B3" w:rsidRDefault="008474B3" w:rsidP="008474B3">
      <w:pPr>
        <w:spacing w:after="0" w:line="240" w:lineRule="auto"/>
        <w:ind w:left="720"/>
        <w:jc w:val="both"/>
        <w:rPr>
          <w:rFonts w:asciiTheme="minorHAnsi" w:hAnsiTheme="minorHAnsi" w:cstheme="minorHAnsi"/>
          <w:sz w:val="22"/>
        </w:rPr>
      </w:pPr>
      <w:r w:rsidRPr="008474B3">
        <w:rPr>
          <w:rFonts w:asciiTheme="minorHAnsi" w:hAnsiTheme="minorHAnsi" w:cstheme="minorHAnsi"/>
          <w:sz w:val="22"/>
        </w:rPr>
        <w:t>Where emergency action has been taken the Board should be made aware of this action as soon as is practicable at the next Board meeting or by email whichever is felt most appropriate.</w:t>
      </w:r>
    </w:p>
    <w:p w14:paraId="19803E9F" w14:textId="3FEC5AD1" w:rsidR="00CA6646" w:rsidRPr="00CA6646" w:rsidRDefault="008474B3" w:rsidP="008474B3">
      <w:pPr>
        <w:spacing w:after="0" w:line="240" w:lineRule="auto"/>
        <w:ind w:left="715" w:hanging="720"/>
        <w:rPr>
          <w:rFonts w:asciiTheme="minorHAnsi" w:hAnsiTheme="minorHAnsi" w:cstheme="minorHAnsi"/>
          <w:sz w:val="22"/>
        </w:rPr>
      </w:pPr>
      <w:r w:rsidRPr="008474B3">
        <w:rPr>
          <w:rFonts w:asciiTheme="minorHAnsi" w:hAnsiTheme="minorHAnsi" w:cstheme="minorHAnsi"/>
          <w:sz w:val="22"/>
        </w:rPr>
        <w:t xml:space="preserve">  </w:t>
      </w:r>
    </w:p>
    <w:p w14:paraId="5993A68E" w14:textId="71C97320" w:rsidR="00CA6646" w:rsidRPr="00424A55" w:rsidRDefault="00CA6646" w:rsidP="00424A55">
      <w:pPr>
        <w:pStyle w:val="Heading1"/>
        <w:rPr>
          <w:rFonts w:asciiTheme="minorHAnsi" w:hAnsiTheme="minorHAnsi" w:cstheme="minorHAnsi"/>
          <w:sz w:val="22"/>
          <w:szCs w:val="22"/>
          <w:u w:val="none"/>
        </w:rPr>
      </w:pPr>
      <w:r w:rsidRPr="00152CFC">
        <w:rPr>
          <w:rFonts w:asciiTheme="minorHAnsi" w:hAnsiTheme="minorHAnsi" w:cstheme="minorHAnsi"/>
          <w:sz w:val="22"/>
          <w:szCs w:val="22"/>
          <w:u w:val="none"/>
        </w:rPr>
        <w:t>2.0</w:t>
      </w:r>
      <w:r w:rsidRPr="00152CFC">
        <w:rPr>
          <w:rFonts w:asciiTheme="minorHAnsi" w:hAnsiTheme="minorHAnsi" w:cstheme="minorHAnsi"/>
          <w:sz w:val="22"/>
          <w:szCs w:val="22"/>
          <w:u w:val="none"/>
        </w:rPr>
        <w:tab/>
      </w:r>
      <w:r w:rsidR="008474B3">
        <w:rPr>
          <w:rFonts w:asciiTheme="minorHAnsi" w:hAnsiTheme="minorHAnsi" w:cstheme="minorHAnsi"/>
          <w:sz w:val="22"/>
          <w:szCs w:val="22"/>
          <w:u w:val="none"/>
        </w:rPr>
        <w:t>BACKGROUND</w:t>
      </w:r>
    </w:p>
    <w:p w14:paraId="039006F2" w14:textId="77777777" w:rsidR="008474B3" w:rsidRPr="008474B3" w:rsidRDefault="008474B3" w:rsidP="008474B3">
      <w:pPr>
        <w:spacing w:after="0" w:line="240" w:lineRule="auto"/>
        <w:ind w:left="720" w:hanging="720"/>
        <w:jc w:val="both"/>
        <w:rPr>
          <w:rFonts w:asciiTheme="minorHAnsi" w:hAnsiTheme="minorHAnsi" w:cstheme="minorHAnsi"/>
          <w:sz w:val="22"/>
        </w:rPr>
      </w:pPr>
      <w:r w:rsidRPr="008474B3">
        <w:rPr>
          <w:rFonts w:asciiTheme="minorHAnsi" w:hAnsiTheme="minorHAnsi" w:cstheme="minorHAnsi"/>
          <w:sz w:val="22"/>
        </w:rPr>
        <w:t>2.1</w:t>
      </w:r>
      <w:r w:rsidRPr="008474B3">
        <w:rPr>
          <w:rFonts w:asciiTheme="minorHAnsi" w:hAnsiTheme="minorHAnsi" w:cstheme="minorHAnsi"/>
          <w:sz w:val="22"/>
        </w:rPr>
        <w:tab/>
        <w:t xml:space="preserve">Responsibility for putting Bridgewater’s policies into practice and managing the organisation and service delivery is delegated to the staff team, under the leadership of the Chief Executive.  This </w:t>
      </w:r>
      <w:r w:rsidRPr="008474B3">
        <w:rPr>
          <w:rFonts w:asciiTheme="minorHAnsi" w:hAnsiTheme="minorHAnsi" w:cstheme="minorHAnsi"/>
          <w:b/>
          <w:sz w:val="22"/>
        </w:rPr>
        <w:t>Scheme of Delegated Authority</w:t>
      </w:r>
      <w:r w:rsidRPr="008474B3">
        <w:rPr>
          <w:rFonts w:asciiTheme="minorHAnsi" w:hAnsiTheme="minorHAnsi" w:cstheme="minorHAnsi"/>
          <w:sz w:val="22"/>
        </w:rPr>
        <w:t xml:space="preserve"> sets out what decisions the Board needs to make, and what decisions and activities it has delegated to the staff team in the following areas:</w:t>
      </w:r>
    </w:p>
    <w:p w14:paraId="4767228B" w14:textId="77777777" w:rsidR="008474B3" w:rsidRPr="008474B3" w:rsidRDefault="008474B3" w:rsidP="008474B3">
      <w:pPr>
        <w:spacing w:after="0" w:line="240" w:lineRule="auto"/>
        <w:jc w:val="both"/>
        <w:rPr>
          <w:rFonts w:asciiTheme="minorHAnsi" w:hAnsiTheme="minorHAnsi" w:cstheme="minorHAnsi"/>
          <w:sz w:val="22"/>
        </w:rPr>
      </w:pPr>
    </w:p>
    <w:p w14:paraId="5AA503EA"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t>Governance, Strategy and Policy</w:t>
      </w:r>
    </w:p>
    <w:p w14:paraId="0794048C"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lastRenderedPageBreak/>
        <w:t>Staffing and Employment</w:t>
      </w:r>
    </w:p>
    <w:p w14:paraId="547F2ED9"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t>Financial Management</w:t>
      </w:r>
    </w:p>
    <w:p w14:paraId="2E351951"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t>Tender and Procurement</w:t>
      </w:r>
    </w:p>
    <w:p w14:paraId="46191423"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t>Housing and Estate Management</w:t>
      </w:r>
    </w:p>
    <w:p w14:paraId="4B266924" w14:textId="77777777" w:rsidR="008474B3" w:rsidRPr="008474B3" w:rsidRDefault="008474B3" w:rsidP="008474B3">
      <w:pPr>
        <w:numPr>
          <w:ilvl w:val="0"/>
          <w:numId w:val="20"/>
        </w:numPr>
        <w:spacing w:after="0" w:line="240" w:lineRule="auto"/>
        <w:jc w:val="both"/>
        <w:rPr>
          <w:rFonts w:asciiTheme="minorHAnsi" w:hAnsiTheme="minorHAnsi" w:cstheme="minorHAnsi"/>
          <w:sz w:val="22"/>
        </w:rPr>
      </w:pPr>
      <w:r w:rsidRPr="008474B3">
        <w:rPr>
          <w:rFonts w:asciiTheme="minorHAnsi" w:hAnsiTheme="minorHAnsi" w:cstheme="minorHAnsi"/>
          <w:sz w:val="22"/>
        </w:rPr>
        <w:t>Development and Property Management</w:t>
      </w:r>
    </w:p>
    <w:p w14:paraId="1B9C6F89" w14:textId="77777777" w:rsidR="008474B3" w:rsidRPr="008474B3" w:rsidRDefault="008474B3" w:rsidP="008474B3">
      <w:pPr>
        <w:spacing w:after="0" w:line="240" w:lineRule="auto"/>
        <w:ind w:left="720"/>
        <w:jc w:val="both"/>
        <w:rPr>
          <w:rFonts w:asciiTheme="minorHAnsi" w:hAnsiTheme="minorHAnsi" w:cstheme="minorHAnsi"/>
          <w:sz w:val="22"/>
        </w:rPr>
      </w:pPr>
    </w:p>
    <w:p w14:paraId="5B6F8BFF" w14:textId="130E9D6E" w:rsidR="008474B3" w:rsidRDefault="008474B3" w:rsidP="008474B3">
      <w:pPr>
        <w:spacing w:after="0" w:line="240" w:lineRule="auto"/>
        <w:ind w:left="720" w:hanging="720"/>
        <w:jc w:val="both"/>
        <w:rPr>
          <w:rFonts w:asciiTheme="minorHAnsi" w:hAnsiTheme="minorHAnsi" w:cstheme="minorHAnsi"/>
          <w:sz w:val="22"/>
        </w:rPr>
      </w:pPr>
      <w:r w:rsidRPr="008474B3">
        <w:rPr>
          <w:rFonts w:asciiTheme="minorHAnsi" w:hAnsiTheme="minorHAnsi" w:cstheme="minorHAnsi"/>
          <w:sz w:val="22"/>
        </w:rPr>
        <w:t>2.2</w:t>
      </w:r>
      <w:r w:rsidRPr="008474B3">
        <w:rPr>
          <w:rFonts w:asciiTheme="minorHAnsi" w:hAnsiTheme="minorHAnsi" w:cstheme="minorHAnsi"/>
          <w:sz w:val="22"/>
        </w:rPr>
        <w:tab/>
        <w:t xml:space="preserve">In all day-to-day operational matters, the Chief Executive and Leadership Team of Bridgewater Housing Association are authorised and empowered to manage the Association and its operations even where certain activities are not specifically mentioned in this </w:t>
      </w:r>
      <w:r>
        <w:rPr>
          <w:rFonts w:asciiTheme="minorHAnsi" w:hAnsiTheme="minorHAnsi" w:cstheme="minorHAnsi"/>
          <w:b/>
          <w:sz w:val="22"/>
        </w:rPr>
        <w:t>S</w:t>
      </w:r>
      <w:r w:rsidRPr="008474B3">
        <w:rPr>
          <w:rFonts w:asciiTheme="minorHAnsi" w:hAnsiTheme="minorHAnsi" w:cstheme="minorHAnsi"/>
          <w:b/>
          <w:sz w:val="22"/>
        </w:rPr>
        <w:t xml:space="preserve">cheme of </w:t>
      </w:r>
      <w:r>
        <w:rPr>
          <w:rFonts w:asciiTheme="minorHAnsi" w:hAnsiTheme="minorHAnsi" w:cstheme="minorHAnsi"/>
          <w:b/>
          <w:sz w:val="22"/>
        </w:rPr>
        <w:t>D</w:t>
      </w:r>
      <w:r w:rsidRPr="008474B3">
        <w:rPr>
          <w:rFonts w:asciiTheme="minorHAnsi" w:hAnsiTheme="minorHAnsi" w:cstheme="minorHAnsi"/>
          <w:b/>
          <w:sz w:val="22"/>
        </w:rPr>
        <w:t xml:space="preserve">elegated </w:t>
      </w:r>
      <w:r>
        <w:rPr>
          <w:rFonts w:asciiTheme="minorHAnsi" w:hAnsiTheme="minorHAnsi" w:cstheme="minorHAnsi"/>
          <w:b/>
          <w:sz w:val="22"/>
        </w:rPr>
        <w:t>A</w:t>
      </w:r>
      <w:r w:rsidRPr="008474B3">
        <w:rPr>
          <w:rFonts w:asciiTheme="minorHAnsi" w:hAnsiTheme="minorHAnsi" w:cstheme="minorHAnsi"/>
          <w:b/>
          <w:sz w:val="22"/>
        </w:rPr>
        <w:t>uthority</w:t>
      </w:r>
      <w:r w:rsidRPr="008474B3">
        <w:rPr>
          <w:rFonts w:asciiTheme="minorHAnsi" w:hAnsiTheme="minorHAnsi" w:cstheme="minorHAnsi"/>
          <w:sz w:val="22"/>
        </w:rPr>
        <w:t>.  Where responsibility is delegated to the staff team, the Board receives regular reports on various areas of Bridgewater’s activities including relevant strategic performance information.</w:t>
      </w:r>
    </w:p>
    <w:p w14:paraId="32BA50DD" w14:textId="77777777" w:rsidR="008474B3" w:rsidRPr="008474B3" w:rsidRDefault="008474B3" w:rsidP="008474B3">
      <w:pPr>
        <w:spacing w:after="0" w:line="240" w:lineRule="auto"/>
        <w:ind w:left="720" w:hanging="720"/>
        <w:jc w:val="both"/>
        <w:rPr>
          <w:rFonts w:asciiTheme="minorHAnsi" w:hAnsiTheme="minorHAnsi" w:cstheme="minorHAnsi"/>
          <w:sz w:val="22"/>
        </w:rPr>
      </w:pPr>
    </w:p>
    <w:p w14:paraId="615A9C70" w14:textId="30BD0833" w:rsidR="008474B3" w:rsidRDefault="008474B3" w:rsidP="008474B3">
      <w:pPr>
        <w:spacing w:after="0" w:line="240" w:lineRule="auto"/>
        <w:ind w:left="720" w:hanging="720"/>
        <w:jc w:val="both"/>
        <w:rPr>
          <w:rFonts w:asciiTheme="minorHAnsi" w:hAnsiTheme="minorHAnsi" w:cstheme="minorHAnsi"/>
          <w:sz w:val="22"/>
        </w:rPr>
      </w:pPr>
      <w:r w:rsidRPr="008474B3">
        <w:rPr>
          <w:rFonts w:asciiTheme="minorHAnsi" w:hAnsiTheme="minorHAnsi" w:cstheme="minorHAnsi"/>
          <w:sz w:val="22"/>
        </w:rPr>
        <w:t>2.3</w:t>
      </w:r>
      <w:r w:rsidRPr="008474B3">
        <w:rPr>
          <w:rFonts w:asciiTheme="minorHAnsi" w:hAnsiTheme="minorHAnsi" w:cstheme="minorHAnsi"/>
          <w:sz w:val="22"/>
        </w:rPr>
        <w:tab/>
        <w:t xml:space="preserve">The Chief Executive may require any member of staff to seek his authority to do something even where this </w:t>
      </w:r>
      <w:r>
        <w:rPr>
          <w:rFonts w:asciiTheme="minorHAnsi" w:hAnsiTheme="minorHAnsi" w:cstheme="minorHAnsi"/>
          <w:b/>
          <w:sz w:val="22"/>
        </w:rPr>
        <w:t>S</w:t>
      </w:r>
      <w:r w:rsidRPr="008474B3">
        <w:rPr>
          <w:rFonts w:asciiTheme="minorHAnsi" w:hAnsiTheme="minorHAnsi" w:cstheme="minorHAnsi"/>
          <w:b/>
          <w:sz w:val="22"/>
        </w:rPr>
        <w:t xml:space="preserve">cheme of </w:t>
      </w:r>
      <w:r>
        <w:rPr>
          <w:rFonts w:asciiTheme="minorHAnsi" w:hAnsiTheme="minorHAnsi" w:cstheme="minorHAnsi"/>
          <w:b/>
          <w:sz w:val="22"/>
        </w:rPr>
        <w:t>D</w:t>
      </w:r>
      <w:r w:rsidRPr="008474B3">
        <w:rPr>
          <w:rFonts w:asciiTheme="minorHAnsi" w:hAnsiTheme="minorHAnsi" w:cstheme="minorHAnsi"/>
          <w:b/>
          <w:sz w:val="22"/>
        </w:rPr>
        <w:t xml:space="preserve">elegated </w:t>
      </w:r>
      <w:r>
        <w:rPr>
          <w:rFonts w:asciiTheme="minorHAnsi" w:hAnsiTheme="minorHAnsi" w:cstheme="minorHAnsi"/>
          <w:b/>
          <w:sz w:val="22"/>
        </w:rPr>
        <w:t>A</w:t>
      </w:r>
      <w:r w:rsidRPr="008474B3">
        <w:rPr>
          <w:rFonts w:asciiTheme="minorHAnsi" w:hAnsiTheme="minorHAnsi" w:cstheme="minorHAnsi"/>
          <w:b/>
          <w:sz w:val="22"/>
        </w:rPr>
        <w:t xml:space="preserve">uthority </w:t>
      </w:r>
      <w:r w:rsidRPr="008474B3">
        <w:rPr>
          <w:rFonts w:asciiTheme="minorHAnsi" w:hAnsiTheme="minorHAnsi" w:cstheme="minorHAnsi"/>
          <w:sz w:val="22"/>
        </w:rPr>
        <w:t>gives the staff member power to do it.</w:t>
      </w:r>
    </w:p>
    <w:p w14:paraId="5EF0652A" w14:textId="77777777" w:rsidR="008474B3" w:rsidRPr="008474B3" w:rsidRDefault="008474B3" w:rsidP="008474B3">
      <w:pPr>
        <w:spacing w:after="0" w:line="240" w:lineRule="auto"/>
        <w:ind w:left="720" w:hanging="720"/>
        <w:jc w:val="both"/>
        <w:rPr>
          <w:rFonts w:asciiTheme="minorHAnsi" w:hAnsiTheme="minorHAnsi" w:cstheme="minorHAnsi"/>
          <w:sz w:val="22"/>
        </w:rPr>
      </w:pPr>
    </w:p>
    <w:p w14:paraId="6C30569E" w14:textId="77777777" w:rsidR="008474B3" w:rsidRPr="008474B3" w:rsidRDefault="008474B3" w:rsidP="008474B3">
      <w:pPr>
        <w:spacing w:after="0" w:line="240" w:lineRule="auto"/>
        <w:ind w:left="715" w:hanging="720"/>
        <w:rPr>
          <w:rFonts w:asciiTheme="minorHAnsi" w:hAnsiTheme="minorHAnsi" w:cstheme="minorHAnsi"/>
          <w:sz w:val="22"/>
        </w:rPr>
      </w:pPr>
      <w:r w:rsidRPr="008474B3">
        <w:rPr>
          <w:rFonts w:asciiTheme="minorHAnsi" w:hAnsiTheme="minorHAnsi" w:cstheme="minorHAnsi"/>
          <w:sz w:val="22"/>
        </w:rPr>
        <w:t>2.4</w:t>
      </w:r>
      <w:r w:rsidRPr="008474B3">
        <w:rPr>
          <w:rFonts w:asciiTheme="minorHAnsi" w:hAnsiTheme="minorHAnsi" w:cstheme="minorHAnsi"/>
          <w:sz w:val="22"/>
        </w:rPr>
        <w:tab/>
        <w:t xml:space="preserve">The Board has agreed the following framework for granting authority and specific delegations: </w:t>
      </w:r>
    </w:p>
    <w:p w14:paraId="56D8D824" w14:textId="0E2238E8" w:rsidR="00CA6646" w:rsidRDefault="00CA6646"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51EDD274" w14:textId="2BAF927F"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993CA43" w14:textId="05C321B1"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29F0435E" w14:textId="01552C3E"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3B8EF7C0" w14:textId="76C3678D"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4168799E" w14:textId="600E83BB"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27E074E7" w14:textId="68F17ED5"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39BA512" w14:textId="55186866"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2469E820" w14:textId="0DFAC9A7"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6916BDB8" w14:textId="28792292"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4A301600" w14:textId="31C8EB79"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3FE42E6" w14:textId="4C591F09"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2087FED" w14:textId="6B2070E6"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56982489" w14:textId="25BE74B6"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69034E6" w14:textId="354A19AC"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76C7A536" w14:textId="6419FEA1"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544A43A0" w14:textId="4011227F"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6C654604" w14:textId="043BE62B"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8F9A384" w14:textId="6C02B2A7"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3E8C973F" w14:textId="329318FD"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5032783A" w14:textId="3B3B2C80"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682705C3" w14:textId="3C14ECD2"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9CE0C1C" w14:textId="40B33D27"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373DD6BD" w14:textId="5A63D4C5"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42E667AD" w14:textId="1C243716"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3461F54D" w14:textId="2D0C4831"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4B3A42A3" w14:textId="151B41F5"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51BE0635" w14:textId="0200ED8F"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78A6334E" w14:textId="1B0B258F"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5ACB0D9" w14:textId="1D093CC4"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66CED12" w14:textId="1BCF720E"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0574481" w14:textId="2EEBABEE"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222FA39A" w14:textId="18A42084"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6B802C10" w14:textId="2F273FEC"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0FCC1FF9" w14:textId="24F341C4"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232EB96C" w14:textId="528C2712"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65C3B846" w14:textId="2081545C"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C8E1BB9" w14:textId="12CA5AEE"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4F3FD2C7" w14:textId="77777777" w:rsidR="008474B3" w:rsidRDefault="008474B3" w:rsidP="00CA6646">
      <w:pPr>
        <w:widowControl w:val="0"/>
        <w:overflowPunct w:val="0"/>
        <w:autoSpaceDE w:val="0"/>
        <w:autoSpaceDN w:val="0"/>
        <w:adjustRightInd w:val="0"/>
        <w:spacing w:after="0" w:line="240" w:lineRule="auto"/>
        <w:jc w:val="both"/>
        <w:rPr>
          <w:rFonts w:asciiTheme="minorHAnsi" w:hAnsiTheme="minorHAnsi" w:cstheme="minorHAnsi"/>
          <w:sz w:val="22"/>
        </w:rPr>
        <w:sectPr w:rsidR="008474B3" w:rsidSect="00B70066">
          <w:footerReference w:type="default" r:id="rId11"/>
          <w:pgSz w:w="11906" w:h="16838"/>
          <w:pgMar w:top="851" w:right="1440" w:bottom="851" w:left="1440" w:header="425" w:footer="709" w:gutter="0"/>
          <w:cols w:space="708"/>
          <w:docGrid w:linePitch="360"/>
        </w:sectPr>
      </w:pPr>
    </w:p>
    <w:p w14:paraId="117E69BB" w14:textId="25EF132E" w:rsidR="008474B3" w:rsidRDefault="008474B3" w:rsidP="00BA37F5">
      <w:pPr>
        <w:pStyle w:val="Heading1"/>
      </w:pPr>
      <w:r w:rsidRPr="008474B3">
        <w:lastRenderedPageBreak/>
        <w:t>Governance Strategy and Policy</w:t>
      </w:r>
    </w:p>
    <w:p w14:paraId="5FBF8F85" w14:textId="77777777" w:rsidR="009620E0" w:rsidRP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tbl>
      <w:tblPr>
        <w:tblStyle w:val="GridTable4-Accent1"/>
        <w:tblW w:w="0" w:type="auto"/>
        <w:tblInd w:w="0" w:type="dxa"/>
        <w:tblLook w:val="0420" w:firstRow="1" w:lastRow="0" w:firstColumn="0" w:lastColumn="0" w:noHBand="0" w:noVBand="1"/>
      </w:tblPr>
      <w:tblGrid>
        <w:gridCol w:w="4649"/>
        <w:gridCol w:w="4649"/>
        <w:gridCol w:w="4650"/>
      </w:tblGrid>
      <w:tr w:rsidR="008474B3" w:rsidRPr="008474B3" w14:paraId="7ECEEBA8" w14:textId="77777777" w:rsidTr="00F61868">
        <w:trPr>
          <w:cnfStyle w:val="100000000000" w:firstRow="1" w:lastRow="0" w:firstColumn="0" w:lastColumn="0" w:oddVBand="0" w:evenVBand="0" w:oddHBand="0" w:evenHBand="0" w:firstRowFirstColumn="0" w:firstRowLastColumn="0" w:lastRowFirstColumn="0" w:lastRowLastColumn="0"/>
          <w:tblHeader/>
        </w:trPr>
        <w:tc>
          <w:tcPr>
            <w:tcW w:w="4649" w:type="dxa"/>
            <w:shd w:val="clear" w:color="auto" w:fill="5B9BD5"/>
            <w:hideMark/>
          </w:tcPr>
          <w:p w14:paraId="3D217EB0" w14:textId="77777777" w:rsidR="008474B3" w:rsidRPr="008474B3" w:rsidRDefault="008474B3">
            <w:pPr>
              <w:rPr>
                <w:rFonts w:cstheme="minorHAnsi"/>
                <w:lang w:eastAsia="en-GB"/>
              </w:rPr>
            </w:pPr>
            <w:r w:rsidRPr="008474B3">
              <w:rPr>
                <w:rFonts w:cstheme="minorHAnsi"/>
                <w:lang w:eastAsia="en-GB"/>
              </w:rPr>
              <w:t>Reserved to the Board</w:t>
            </w:r>
          </w:p>
        </w:tc>
        <w:tc>
          <w:tcPr>
            <w:tcW w:w="4649" w:type="dxa"/>
            <w:shd w:val="clear" w:color="auto" w:fill="5B9BD5"/>
            <w:hideMark/>
          </w:tcPr>
          <w:p w14:paraId="49060D1D" w14:textId="77777777" w:rsidR="008474B3" w:rsidRPr="008474B3" w:rsidRDefault="008474B3">
            <w:pPr>
              <w:rPr>
                <w:rFonts w:cstheme="minorHAnsi"/>
                <w:lang w:eastAsia="en-GB"/>
              </w:rPr>
            </w:pPr>
            <w:r w:rsidRPr="008474B3">
              <w:rPr>
                <w:rFonts w:cstheme="minorHAnsi"/>
                <w:lang w:eastAsia="en-GB"/>
              </w:rPr>
              <w:t>Delegated to Sub-Committees</w:t>
            </w:r>
          </w:p>
        </w:tc>
        <w:tc>
          <w:tcPr>
            <w:tcW w:w="4650" w:type="dxa"/>
            <w:shd w:val="clear" w:color="auto" w:fill="5B9BD5"/>
            <w:hideMark/>
          </w:tcPr>
          <w:p w14:paraId="0831EFF3" w14:textId="77777777" w:rsidR="008474B3" w:rsidRPr="008474B3" w:rsidRDefault="008474B3">
            <w:pPr>
              <w:rPr>
                <w:rFonts w:cstheme="minorHAnsi"/>
                <w:lang w:eastAsia="en-GB"/>
              </w:rPr>
            </w:pPr>
            <w:r w:rsidRPr="008474B3">
              <w:rPr>
                <w:rFonts w:cstheme="minorHAnsi"/>
                <w:lang w:eastAsia="en-GB"/>
              </w:rPr>
              <w:t>Delegated to the Leadership Team</w:t>
            </w:r>
          </w:p>
        </w:tc>
      </w:tr>
      <w:tr w:rsidR="008474B3" w:rsidRPr="008474B3" w14:paraId="2B5B6E73"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4858F0FE" w14:textId="6874A31E" w:rsidR="008474B3" w:rsidRPr="008474B3" w:rsidRDefault="008474B3">
            <w:pPr>
              <w:rPr>
                <w:rFonts w:cstheme="minorHAnsi"/>
                <w:lang w:eastAsia="en-GB"/>
              </w:rPr>
            </w:pPr>
            <w:r w:rsidRPr="008474B3">
              <w:rPr>
                <w:rFonts w:cstheme="minorHAnsi"/>
                <w:lang w:eastAsia="en-GB"/>
              </w:rPr>
              <w:t>Establishment / Dissolution of Sub-Committee or Working groups.  Approval of remits of sub committees and delegated authorities to sub-committees and staff as deemed appropriate</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17222953"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149821F5" w14:textId="77777777" w:rsidR="008474B3" w:rsidRPr="008474B3" w:rsidRDefault="008474B3">
            <w:pPr>
              <w:rPr>
                <w:rFonts w:cstheme="minorHAnsi"/>
                <w:lang w:eastAsia="en-GB"/>
              </w:rPr>
            </w:pPr>
            <w:r w:rsidRPr="008474B3">
              <w:rPr>
                <w:rFonts w:cstheme="minorHAnsi"/>
                <w:lang w:eastAsia="en-GB"/>
              </w:rPr>
              <w:t>Monitoring and maintaining policy review schedule; approval of policies delegated by Board</w:t>
            </w:r>
          </w:p>
        </w:tc>
      </w:tr>
      <w:tr w:rsidR="008474B3" w:rsidRPr="008474B3" w14:paraId="69EA442C"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A8FF53" w14:textId="77777777" w:rsidR="008474B3" w:rsidRPr="008474B3" w:rsidRDefault="008474B3">
            <w:pPr>
              <w:rPr>
                <w:rFonts w:cstheme="minorHAnsi"/>
                <w:lang w:eastAsia="en-GB"/>
              </w:rPr>
            </w:pPr>
            <w:r w:rsidRPr="008474B3">
              <w:rPr>
                <w:rFonts w:cstheme="minorHAnsi"/>
                <w:lang w:eastAsia="en-GB"/>
              </w:rPr>
              <w:t>Review of all policies in accordance with Policy Review Schedule, policies can be delegated to Sub-Committee and Leadership Team by Board</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581349" w14:textId="77777777" w:rsidR="008474B3" w:rsidRPr="008474B3" w:rsidRDefault="008474B3">
            <w:pPr>
              <w:rPr>
                <w:rFonts w:cstheme="minorHAnsi"/>
                <w:lang w:eastAsia="en-GB"/>
              </w:rPr>
            </w:pPr>
            <w:r w:rsidRPr="008474B3">
              <w:rPr>
                <w:rFonts w:cstheme="minorHAnsi"/>
                <w:lang w:eastAsia="en-GB"/>
              </w:rPr>
              <w:t xml:space="preserve">Approval of Payments and Benefits in accordance with Bridgewater’s Entitlements, Payments and Benefits Policy  </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E87C02" w14:textId="77777777" w:rsidR="008474B3" w:rsidRPr="008474B3" w:rsidRDefault="008474B3">
            <w:pPr>
              <w:rPr>
                <w:rFonts w:cstheme="minorHAnsi"/>
                <w:lang w:eastAsia="en-GB"/>
              </w:rPr>
            </w:pPr>
            <w:r w:rsidRPr="008474B3">
              <w:rPr>
                <w:rFonts w:cstheme="minorHAnsi"/>
                <w:lang w:eastAsia="en-GB"/>
              </w:rPr>
              <w:t xml:space="preserve">Approval and reporting to Board of Payments and Benefits in accordance with Bridgewater’s Entitlements, Payments and Benefits Policy  </w:t>
            </w:r>
          </w:p>
        </w:tc>
      </w:tr>
      <w:tr w:rsidR="008474B3" w:rsidRPr="008474B3" w14:paraId="0DBCAC43"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2FDD8207" w14:textId="08B0CAA7" w:rsidR="008474B3" w:rsidRPr="008474B3" w:rsidRDefault="008474B3">
            <w:pPr>
              <w:rPr>
                <w:rFonts w:cstheme="minorHAnsi"/>
                <w:lang w:eastAsia="en-GB"/>
              </w:rPr>
            </w:pPr>
            <w:r w:rsidRPr="008474B3">
              <w:rPr>
                <w:rFonts w:cstheme="minorHAnsi"/>
                <w:lang w:eastAsia="en-GB"/>
              </w:rPr>
              <w:t>Approval of Bridgewater’s Business Plan and all other strategies /plans/updates that fall within the strategic role of the Board. Review of progress against business plan on a quarterly basis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5FD22015" w14:textId="015B243D" w:rsidR="008474B3" w:rsidRPr="008474B3" w:rsidRDefault="008474B3">
            <w:pPr>
              <w:rPr>
                <w:rFonts w:cstheme="minorHAnsi"/>
                <w:lang w:eastAsia="en-GB"/>
              </w:rPr>
            </w:pPr>
            <w:r w:rsidRPr="008474B3">
              <w:rPr>
                <w:rFonts w:cstheme="minorHAnsi"/>
                <w:lang w:eastAsia="en-GB"/>
              </w:rPr>
              <w:t>Approve and review IT Strategy and associated Policies – recommending to Board where appropriate significant financial implications of change</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1B25A1CB" w14:textId="77777777" w:rsidR="008474B3" w:rsidRPr="008474B3" w:rsidRDefault="008474B3">
            <w:pPr>
              <w:rPr>
                <w:rFonts w:cstheme="minorHAnsi"/>
                <w:lang w:eastAsia="en-GB"/>
              </w:rPr>
            </w:pPr>
            <w:r w:rsidRPr="008474B3">
              <w:rPr>
                <w:rFonts w:cstheme="minorHAnsi"/>
                <w:lang w:eastAsia="en-GB"/>
              </w:rPr>
              <w:t>Reporting progress with Business Plan quarterly and annual update</w:t>
            </w:r>
          </w:p>
        </w:tc>
      </w:tr>
      <w:tr w:rsidR="008474B3" w:rsidRPr="008474B3" w14:paraId="403ED133"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A292CB5" w14:textId="77777777" w:rsidR="008474B3" w:rsidRPr="008474B3" w:rsidRDefault="008474B3">
            <w:pPr>
              <w:rPr>
                <w:rFonts w:cstheme="minorHAnsi"/>
                <w:lang w:eastAsia="en-GB"/>
              </w:rPr>
            </w:pPr>
            <w:r w:rsidRPr="008474B3">
              <w:rPr>
                <w:rFonts w:cstheme="minorHAnsi"/>
                <w:lang w:eastAsia="en-GB"/>
              </w:rPr>
              <w:t>Approval of the creation or dissolution of subsidiaries, and appointment of directors to subsidiaries and other bodies.  Approval of the business plan of any subsidiary organisation</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8A4CF3B"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AEDC1B" w14:textId="77777777" w:rsidR="008474B3" w:rsidRPr="008474B3" w:rsidRDefault="008474B3">
            <w:pPr>
              <w:rPr>
                <w:rFonts w:cstheme="minorHAnsi"/>
                <w:lang w:eastAsia="en-GB"/>
              </w:rPr>
            </w:pPr>
          </w:p>
        </w:tc>
      </w:tr>
      <w:tr w:rsidR="008474B3" w:rsidRPr="008474B3" w14:paraId="4D0DE087"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3B223ADE" w14:textId="6E3A6F9E" w:rsidR="008474B3" w:rsidRPr="008474B3" w:rsidRDefault="008474B3">
            <w:pPr>
              <w:rPr>
                <w:rFonts w:cstheme="minorHAnsi"/>
                <w:lang w:eastAsia="en-GB"/>
              </w:rPr>
            </w:pPr>
            <w:r w:rsidRPr="008474B3">
              <w:rPr>
                <w:rFonts w:cstheme="minorHAnsi"/>
                <w:lang w:eastAsia="en-GB"/>
              </w:rPr>
              <w:t>Approve where required Annual Returns to Scottish Government, Scottish Housing Regulator &amp; OSCR</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2B3922A1" w14:textId="5DA291B9" w:rsidR="008474B3" w:rsidRPr="008474B3" w:rsidRDefault="008474B3">
            <w:pPr>
              <w:rPr>
                <w:rFonts w:cstheme="minorHAnsi"/>
                <w:lang w:eastAsia="en-GB"/>
              </w:rPr>
            </w:pPr>
            <w:r w:rsidRPr="008474B3">
              <w:rPr>
                <w:rFonts w:cstheme="minorHAnsi"/>
                <w:lang w:eastAsia="en-GB"/>
              </w:rPr>
              <w:t>Approve Annual Return on the Charter / financial returns in accordance with sub-committee remits</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6BE8623E" w14:textId="37E17770" w:rsidR="008474B3" w:rsidRPr="008474B3" w:rsidRDefault="008474B3">
            <w:pPr>
              <w:rPr>
                <w:rFonts w:cstheme="minorHAnsi"/>
                <w:lang w:eastAsia="en-GB"/>
              </w:rPr>
            </w:pPr>
            <w:r w:rsidRPr="008474B3">
              <w:rPr>
                <w:rFonts w:cstheme="minorHAnsi"/>
                <w:lang w:eastAsia="en-GB"/>
              </w:rPr>
              <w:t>Submit Annual Returns to all statutory and regulatory bodies following Board Approval or where Board Approval is not required</w:t>
            </w:r>
          </w:p>
        </w:tc>
      </w:tr>
      <w:tr w:rsidR="008474B3" w:rsidRPr="008474B3" w14:paraId="14101417"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86B8C90" w14:textId="77777777" w:rsidR="008474B3" w:rsidRPr="008474B3" w:rsidRDefault="008474B3">
            <w:pPr>
              <w:rPr>
                <w:rFonts w:cstheme="minorHAnsi"/>
                <w:lang w:eastAsia="en-GB"/>
              </w:rPr>
            </w:pPr>
            <w:r w:rsidRPr="008474B3">
              <w:rPr>
                <w:rFonts w:cstheme="minorHAnsi"/>
                <w:lang w:eastAsia="en-GB"/>
              </w:rPr>
              <w:t>Approve any joint venture or setting up of Subsidiary, and any lending to other organisations, in accordance with rules and covenants.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FC2AE8"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06E1C5" w14:textId="77777777" w:rsidR="008474B3" w:rsidRPr="008474B3" w:rsidRDefault="008474B3">
            <w:pPr>
              <w:rPr>
                <w:rFonts w:cstheme="minorHAnsi"/>
                <w:lang w:eastAsia="en-GB"/>
              </w:rPr>
            </w:pPr>
          </w:p>
        </w:tc>
      </w:tr>
      <w:tr w:rsidR="008474B3" w:rsidRPr="008474B3" w14:paraId="1E2BF5A6"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47DF81CF" w14:textId="77777777" w:rsidR="008474B3" w:rsidRPr="008474B3" w:rsidRDefault="008474B3">
            <w:pPr>
              <w:rPr>
                <w:rFonts w:cstheme="minorHAnsi"/>
                <w:lang w:eastAsia="en-GB"/>
              </w:rPr>
            </w:pPr>
            <w:r w:rsidRPr="008474B3">
              <w:rPr>
                <w:rFonts w:cstheme="minorHAnsi"/>
                <w:lang w:eastAsia="en-GB"/>
              </w:rPr>
              <w:t>Approval of Board Draft Minutes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6483B8AA" w14:textId="77777777" w:rsidR="008474B3" w:rsidRPr="008474B3" w:rsidRDefault="008474B3">
            <w:pPr>
              <w:rPr>
                <w:rFonts w:cstheme="minorHAnsi"/>
                <w:lang w:eastAsia="en-GB"/>
              </w:rPr>
            </w:pPr>
            <w:r w:rsidRPr="008474B3">
              <w:rPr>
                <w:rFonts w:cstheme="minorHAnsi"/>
                <w:lang w:eastAsia="en-GB"/>
              </w:rPr>
              <w:t>Approval of draft minutes of Sub-Committees</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2C504320" w14:textId="5FAFCAB8" w:rsidR="008474B3" w:rsidRPr="008474B3" w:rsidRDefault="008474B3">
            <w:pPr>
              <w:rPr>
                <w:rFonts w:cstheme="minorHAnsi"/>
                <w:lang w:eastAsia="en-GB"/>
              </w:rPr>
            </w:pPr>
            <w:r w:rsidRPr="008474B3">
              <w:rPr>
                <w:rFonts w:cstheme="minorHAnsi"/>
                <w:lang w:eastAsia="en-GB"/>
              </w:rPr>
              <w:t>Preparation and issue of notice, agenda, papers and minutes for meetings of Board, Sub-Committees and AGM</w:t>
            </w:r>
          </w:p>
        </w:tc>
      </w:tr>
      <w:tr w:rsidR="008474B3" w:rsidRPr="008474B3" w14:paraId="06F87BB5"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7B9EAC" w14:textId="77777777" w:rsidR="008474B3" w:rsidRPr="008474B3" w:rsidRDefault="008474B3">
            <w:pPr>
              <w:ind w:left="3"/>
              <w:rPr>
                <w:rFonts w:cstheme="minorHAnsi"/>
                <w:lang w:eastAsia="en-GB"/>
              </w:rPr>
            </w:pPr>
            <w:r w:rsidRPr="008474B3">
              <w:rPr>
                <w:rFonts w:cstheme="minorHAnsi"/>
                <w:lang w:eastAsia="en-GB"/>
              </w:rPr>
              <w:t xml:space="preserve">Agreement to seek approval for disposal of assets under Section </w:t>
            </w:r>
          </w:p>
          <w:p w14:paraId="7C82FD41" w14:textId="77777777" w:rsidR="008474B3" w:rsidRPr="008474B3" w:rsidRDefault="008474B3">
            <w:pPr>
              <w:ind w:left="3"/>
              <w:rPr>
                <w:rFonts w:cstheme="minorHAnsi"/>
                <w:lang w:eastAsia="en-GB"/>
              </w:rPr>
            </w:pPr>
            <w:r w:rsidRPr="008474B3">
              <w:rPr>
                <w:rFonts w:cstheme="minorHAnsi"/>
                <w:lang w:eastAsia="en-GB"/>
              </w:rPr>
              <w:t xml:space="preserve">66 of Housing (Scotland) Act </w:t>
            </w:r>
          </w:p>
          <w:p w14:paraId="483A9F79" w14:textId="77777777" w:rsidR="008474B3" w:rsidRPr="008474B3" w:rsidRDefault="008474B3">
            <w:pPr>
              <w:rPr>
                <w:rFonts w:cstheme="minorHAnsi"/>
                <w:lang w:eastAsia="en-GB"/>
              </w:rPr>
            </w:pPr>
            <w:r w:rsidRPr="008474B3">
              <w:rPr>
                <w:rFonts w:cstheme="minorHAnsi"/>
                <w:lang w:eastAsia="en-GB"/>
              </w:rPr>
              <w:t xml:space="preserve">2001(and its successors) except leases which can be approved by LT as per policy </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C04BE5A" w14:textId="77777777" w:rsidR="008474B3" w:rsidRPr="008474B3" w:rsidRDefault="008474B3">
            <w:pPr>
              <w:rPr>
                <w:rFonts w:cstheme="minorHAnsi"/>
                <w:lang w:eastAsia="en-GB"/>
              </w:rPr>
            </w:pPr>
            <w:r w:rsidRPr="008474B3">
              <w:rPr>
                <w:rFonts w:cstheme="minorHAnsi"/>
                <w:lang w:eastAsia="en-GB"/>
              </w:rPr>
              <w:t>Approve Annual Leasing Report</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072A8F" w14:textId="77777777" w:rsidR="008474B3" w:rsidRPr="008474B3" w:rsidRDefault="008474B3">
            <w:pPr>
              <w:rPr>
                <w:rFonts w:cstheme="minorHAnsi"/>
                <w:lang w:eastAsia="en-GB"/>
              </w:rPr>
            </w:pPr>
            <w:r w:rsidRPr="008474B3">
              <w:rPr>
                <w:rFonts w:cstheme="minorHAnsi"/>
                <w:lang w:eastAsia="en-GB"/>
              </w:rPr>
              <w:t>Approval of leases and reported to Sub Committee and SHR</w:t>
            </w:r>
          </w:p>
        </w:tc>
      </w:tr>
      <w:tr w:rsidR="008474B3" w:rsidRPr="008474B3" w14:paraId="00CEE93F"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05AE745F" w14:textId="77777777" w:rsidR="008474B3" w:rsidRPr="008474B3" w:rsidRDefault="008474B3">
            <w:pPr>
              <w:rPr>
                <w:rFonts w:cstheme="minorHAnsi"/>
                <w:lang w:eastAsia="en-GB"/>
              </w:rPr>
            </w:pPr>
            <w:r w:rsidRPr="008474B3">
              <w:rPr>
                <w:rFonts w:cstheme="minorHAnsi"/>
                <w:lang w:eastAsia="en-GB"/>
              </w:rPr>
              <w:t>Approving Strategic Agreements with other parties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10B31B09"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4220D66D" w14:textId="77777777" w:rsidR="008474B3" w:rsidRPr="008474B3" w:rsidRDefault="008474B3">
            <w:pPr>
              <w:ind w:left="3"/>
              <w:rPr>
                <w:rFonts w:cstheme="minorHAnsi"/>
                <w:lang w:eastAsia="en-GB"/>
              </w:rPr>
            </w:pPr>
          </w:p>
        </w:tc>
      </w:tr>
      <w:tr w:rsidR="008474B3" w:rsidRPr="008474B3" w14:paraId="7F5656A7"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CD6BA9B" w14:textId="77777777" w:rsidR="008474B3" w:rsidRPr="008474B3" w:rsidRDefault="008474B3">
            <w:pPr>
              <w:rPr>
                <w:rFonts w:cstheme="minorHAnsi"/>
                <w:lang w:eastAsia="en-GB"/>
              </w:rPr>
            </w:pPr>
            <w:r w:rsidRPr="008474B3">
              <w:rPr>
                <w:rFonts w:cstheme="minorHAnsi"/>
                <w:lang w:eastAsia="en-GB"/>
              </w:rPr>
              <w:lastRenderedPageBreak/>
              <w:t>Approval of recommendation to the AGM on the appointment of the External Auditors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4C17FEF" w14:textId="77777777" w:rsidR="008474B3" w:rsidRPr="008474B3" w:rsidRDefault="008474B3">
            <w:pPr>
              <w:rPr>
                <w:rFonts w:cstheme="minorHAnsi"/>
                <w:lang w:eastAsia="en-GB"/>
              </w:rPr>
            </w:pPr>
            <w:r w:rsidRPr="008474B3">
              <w:rPr>
                <w:rFonts w:cstheme="minorHAnsi"/>
                <w:lang w:eastAsia="en-GB"/>
              </w:rPr>
              <w:t>Approval of appointment of internal &amp; external auditors</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55DEEF" w14:textId="77777777" w:rsidR="008474B3" w:rsidRPr="008474B3" w:rsidRDefault="008474B3">
            <w:pPr>
              <w:rPr>
                <w:rFonts w:cstheme="minorHAnsi"/>
                <w:lang w:eastAsia="en-GB"/>
              </w:rPr>
            </w:pPr>
            <w:r w:rsidRPr="008474B3">
              <w:rPr>
                <w:rFonts w:cstheme="minorHAnsi"/>
                <w:lang w:eastAsia="en-GB"/>
              </w:rPr>
              <w:t>Reporting and implementing any remedial action identified by the internal auditor</w:t>
            </w:r>
          </w:p>
        </w:tc>
      </w:tr>
      <w:tr w:rsidR="008474B3" w:rsidRPr="008474B3" w14:paraId="1950B0CB"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2E475116" w14:textId="77777777" w:rsidR="008474B3" w:rsidRPr="008474B3" w:rsidRDefault="008474B3">
            <w:pPr>
              <w:rPr>
                <w:rFonts w:cstheme="minorHAnsi"/>
                <w:lang w:eastAsia="en-GB"/>
              </w:rPr>
            </w:pPr>
            <w:r w:rsidRPr="008474B3">
              <w:rPr>
                <w:rFonts w:cstheme="minorHAnsi"/>
                <w:lang w:eastAsia="en-GB"/>
              </w:rPr>
              <w:t>Authorising use of the Seal</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00FE7BC2" w14:textId="77777777" w:rsidR="008474B3" w:rsidRPr="008474B3" w:rsidRDefault="008474B3">
            <w:pPr>
              <w:rPr>
                <w:rFonts w:cstheme="minorHAnsi"/>
                <w:lang w:eastAsia="en-GB"/>
              </w:rPr>
            </w:pPr>
            <w:r w:rsidRPr="008474B3">
              <w:rPr>
                <w:rFonts w:cstheme="minorHAnsi"/>
                <w:lang w:eastAsia="en-GB"/>
              </w:rPr>
              <w:t>Ensure Bridgewater has comprehensive, adequate and appropriate insurances in place to manage and mitigate risk.</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3DDE6EE2" w14:textId="77777777" w:rsidR="008474B3" w:rsidRPr="008474B3" w:rsidRDefault="008474B3">
            <w:pPr>
              <w:rPr>
                <w:rFonts w:cstheme="minorHAnsi"/>
                <w:lang w:eastAsia="en-GB"/>
              </w:rPr>
            </w:pPr>
            <w:r w:rsidRPr="008474B3">
              <w:rPr>
                <w:rFonts w:cstheme="minorHAnsi"/>
                <w:lang w:eastAsia="en-GB"/>
              </w:rPr>
              <w:t xml:space="preserve">Implementation of Risk Management Strategy and maintenance of strategic and operational risk registers </w:t>
            </w:r>
          </w:p>
        </w:tc>
      </w:tr>
      <w:tr w:rsidR="008474B3" w:rsidRPr="008474B3" w14:paraId="044A2E80"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9B0EC6" w14:textId="77777777" w:rsidR="008474B3" w:rsidRPr="008474B3" w:rsidRDefault="008474B3">
            <w:pPr>
              <w:rPr>
                <w:rFonts w:cstheme="minorHAnsi"/>
                <w:lang w:eastAsia="en-GB"/>
              </w:rPr>
            </w:pPr>
            <w:r w:rsidRPr="008474B3">
              <w:rPr>
                <w:rFonts w:cstheme="minorHAnsi"/>
                <w:lang w:eastAsia="en-GB"/>
              </w:rPr>
              <w:t>Approval of registers where required by regulatory, statutory or funding bodies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929028"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BB11A48" w14:textId="77777777" w:rsidR="008474B3" w:rsidRPr="008474B3" w:rsidRDefault="008474B3">
            <w:pPr>
              <w:rPr>
                <w:rFonts w:cstheme="minorHAnsi"/>
                <w:lang w:eastAsia="en-GB"/>
              </w:rPr>
            </w:pPr>
            <w:r w:rsidRPr="008474B3">
              <w:rPr>
                <w:rFonts w:cstheme="minorHAnsi"/>
                <w:lang w:eastAsia="en-GB"/>
              </w:rPr>
              <w:t>Approval, monitoring, maintenance and reporting of all Registers required by Regulators</w:t>
            </w:r>
          </w:p>
        </w:tc>
      </w:tr>
      <w:tr w:rsidR="008474B3" w:rsidRPr="008474B3" w14:paraId="151596F4"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2CE69F2C" w14:textId="77777777" w:rsidR="008474B3" w:rsidRPr="008474B3" w:rsidRDefault="008474B3">
            <w:pPr>
              <w:rPr>
                <w:rFonts w:cstheme="minorHAnsi"/>
                <w:lang w:eastAsia="en-GB"/>
              </w:rPr>
            </w:pPr>
            <w:r w:rsidRPr="008474B3">
              <w:rPr>
                <w:rFonts w:cstheme="minorHAnsi"/>
                <w:lang w:eastAsia="en-GB"/>
              </w:rPr>
              <w:t>Approval of Risk Management Strategy and annual review and quarterly monitoring of strategic risk register and compliance register</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26751714"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750327AA" w14:textId="77777777" w:rsidR="008474B3" w:rsidRPr="008474B3" w:rsidRDefault="008474B3">
            <w:pPr>
              <w:ind w:left="3"/>
              <w:rPr>
                <w:rFonts w:cstheme="minorHAnsi"/>
                <w:lang w:eastAsia="en-GB"/>
              </w:rPr>
            </w:pPr>
            <w:r w:rsidRPr="008474B3">
              <w:rPr>
                <w:rFonts w:cstheme="minorHAnsi"/>
                <w:lang w:eastAsia="en-GB"/>
              </w:rPr>
              <w:t>Making statements to the press or other public statements on behalf of Bridgewater HA (with input/knowledge of Chair)</w:t>
            </w:r>
          </w:p>
        </w:tc>
      </w:tr>
      <w:tr w:rsidR="008474B3" w:rsidRPr="008474B3" w14:paraId="5EA76345"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4CBB38" w14:textId="77777777" w:rsidR="008474B3" w:rsidRPr="008474B3" w:rsidRDefault="008474B3">
            <w:pPr>
              <w:rPr>
                <w:rFonts w:cstheme="minorHAnsi"/>
                <w:lang w:eastAsia="en-GB"/>
              </w:rPr>
            </w:pPr>
            <w:r w:rsidRPr="008474B3">
              <w:rPr>
                <w:rFonts w:cstheme="minorHAnsi"/>
                <w:lang w:eastAsia="en-GB"/>
              </w:rPr>
              <w:t>Ensuring compliance with Regulatory Standards of Governance and Financial Management and legal and compliance obligations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B75678"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7D0EA3" w14:textId="7600D62C" w:rsidR="008474B3" w:rsidRPr="008474B3" w:rsidRDefault="008474B3">
            <w:pPr>
              <w:rPr>
                <w:rFonts w:cstheme="minorHAnsi"/>
                <w:lang w:eastAsia="en-GB"/>
              </w:rPr>
            </w:pPr>
            <w:r w:rsidRPr="008474B3">
              <w:rPr>
                <w:rFonts w:cstheme="minorHAnsi"/>
                <w:lang w:eastAsia="en-GB"/>
              </w:rPr>
              <w:t>Initiation of Investigation of alleged breach of Board Members’ Code of Conduct per approved protocol</w:t>
            </w:r>
            <w:r w:rsidR="009620E0">
              <w:rPr>
                <w:rFonts w:cstheme="minorHAnsi"/>
                <w:lang w:eastAsia="en-GB"/>
              </w:rPr>
              <w:t xml:space="preserve"> </w:t>
            </w:r>
            <w:r w:rsidRPr="008474B3">
              <w:rPr>
                <w:rFonts w:cstheme="minorHAnsi"/>
                <w:lang w:eastAsia="en-GB"/>
              </w:rPr>
              <w:t>(Chair and CEO)</w:t>
            </w:r>
          </w:p>
        </w:tc>
      </w:tr>
      <w:tr w:rsidR="008474B3" w:rsidRPr="008474B3" w14:paraId="5C4DBCC1"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56984906" w14:textId="77777777" w:rsidR="008474B3" w:rsidRPr="008474B3" w:rsidRDefault="008474B3">
            <w:pPr>
              <w:rPr>
                <w:rFonts w:cstheme="minorHAnsi"/>
                <w:lang w:eastAsia="en-GB"/>
              </w:rPr>
            </w:pP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2B3647CB" w14:textId="77777777" w:rsidR="008474B3" w:rsidRPr="008474B3" w:rsidRDefault="008474B3">
            <w:pPr>
              <w:rPr>
                <w:rFonts w:cstheme="minorHAnsi"/>
                <w:lang w:eastAsia="en-GB"/>
              </w:rPr>
            </w:pPr>
            <w:r w:rsidRPr="008474B3">
              <w:rPr>
                <w:rFonts w:cstheme="minorHAnsi"/>
                <w:lang w:eastAsia="en-GB"/>
              </w:rPr>
              <w:t>Monitoring of Complaints Handling Procedure on a bi-annual basis</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5C6CFDB4" w14:textId="77777777" w:rsidR="008474B3" w:rsidRPr="008474B3" w:rsidRDefault="008474B3">
            <w:pPr>
              <w:rPr>
                <w:rFonts w:cstheme="minorHAnsi"/>
                <w:lang w:eastAsia="en-GB"/>
              </w:rPr>
            </w:pPr>
            <w:r w:rsidRPr="008474B3">
              <w:rPr>
                <w:rFonts w:cstheme="minorHAnsi"/>
                <w:lang w:eastAsia="en-GB"/>
              </w:rPr>
              <w:t>Managing and implementing the Complaints Handling Procedure in accordance with SPSO Guidance</w:t>
            </w:r>
          </w:p>
        </w:tc>
      </w:tr>
      <w:tr w:rsidR="008474B3" w:rsidRPr="008474B3" w14:paraId="1DCC9B73"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4F1434" w14:textId="77777777" w:rsidR="008474B3" w:rsidRPr="008474B3" w:rsidRDefault="008474B3">
            <w:pPr>
              <w:rPr>
                <w:rFonts w:cstheme="minorHAnsi"/>
                <w:lang w:eastAsia="en-GB"/>
              </w:rPr>
            </w:pPr>
            <w:r w:rsidRPr="008474B3">
              <w:rPr>
                <w:rFonts w:cstheme="minorHAnsi"/>
                <w:lang w:eastAsia="en-GB"/>
              </w:rPr>
              <w:t xml:space="preserve">Approve Board Members training plans </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C6CB6F"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77322C" w14:textId="77777777" w:rsidR="008474B3" w:rsidRPr="008474B3" w:rsidRDefault="008474B3">
            <w:pPr>
              <w:rPr>
                <w:rFonts w:cstheme="minorHAnsi"/>
                <w:lang w:eastAsia="en-GB"/>
              </w:rPr>
            </w:pPr>
            <w:r w:rsidRPr="008474B3">
              <w:rPr>
                <w:rFonts w:cstheme="minorHAnsi"/>
                <w:lang w:eastAsia="en-GB"/>
              </w:rPr>
              <w:t>Arrange for Annual Appraisals and Training &amp; Development Plans to be in place</w:t>
            </w:r>
          </w:p>
        </w:tc>
      </w:tr>
      <w:tr w:rsidR="008474B3" w:rsidRPr="008474B3" w14:paraId="48A1DCD0"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04929B18" w14:textId="6C609410" w:rsidR="008474B3" w:rsidRPr="008474B3" w:rsidRDefault="008474B3" w:rsidP="009620E0">
            <w:pPr>
              <w:pStyle w:val="Default"/>
              <w:rPr>
                <w:rFonts w:cstheme="minorHAnsi"/>
              </w:rPr>
            </w:pPr>
            <w:r w:rsidRPr="008474B3">
              <w:rPr>
                <w:rFonts w:cstheme="minorHAnsi"/>
              </w:rPr>
              <w:t>Approval/refusal of applications for membership of the Association</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07548DB6"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51CD361D" w14:textId="77777777" w:rsidR="008474B3" w:rsidRPr="008474B3" w:rsidRDefault="008474B3">
            <w:pPr>
              <w:rPr>
                <w:rFonts w:cstheme="minorHAnsi"/>
                <w:lang w:eastAsia="en-GB"/>
              </w:rPr>
            </w:pPr>
            <w:r w:rsidRPr="008474B3">
              <w:rPr>
                <w:rFonts w:cstheme="minorHAnsi"/>
                <w:lang w:eastAsia="en-GB"/>
              </w:rPr>
              <w:t>Maintenance of register of membership</w:t>
            </w:r>
          </w:p>
        </w:tc>
      </w:tr>
      <w:tr w:rsidR="008474B3" w:rsidRPr="008474B3" w14:paraId="0F91B454"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A0EF15" w14:textId="77777777" w:rsidR="008474B3" w:rsidRPr="008474B3" w:rsidRDefault="008474B3">
            <w:pPr>
              <w:pStyle w:val="Default"/>
              <w:rPr>
                <w:rFonts w:cstheme="minorHAnsi"/>
              </w:rPr>
            </w:pPr>
            <w:r w:rsidRPr="008474B3">
              <w:rPr>
                <w:rFonts w:cstheme="minorHAnsi"/>
              </w:rPr>
              <w:t>Appointment of office bearers and filling of casual vacancies; appointment/replacement of co-opted members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00B21A"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BD4F23" w14:textId="77777777" w:rsidR="008474B3" w:rsidRPr="008474B3" w:rsidRDefault="008474B3">
            <w:pPr>
              <w:rPr>
                <w:rFonts w:cstheme="minorHAnsi"/>
                <w:lang w:eastAsia="en-GB"/>
              </w:rPr>
            </w:pPr>
            <w:r w:rsidRPr="008474B3">
              <w:rPr>
                <w:rFonts w:cstheme="minorHAnsi"/>
                <w:lang w:eastAsia="en-GB"/>
              </w:rPr>
              <w:t>Maintenance and reporting Action Plans</w:t>
            </w:r>
          </w:p>
        </w:tc>
      </w:tr>
      <w:tr w:rsidR="008474B3" w:rsidRPr="008474B3" w14:paraId="013CD33E"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63BFC059" w14:textId="77777777" w:rsidR="008474B3" w:rsidRPr="008474B3" w:rsidRDefault="008474B3">
            <w:pPr>
              <w:pStyle w:val="Default"/>
              <w:rPr>
                <w:rFonts w:cstheme="minorHAnsi"/>
              </w:rPr>
            </w:pPr>
            <w:r w:rsidRPr="008474B3">
              <w:rPr>
                <w:rFonts w:cstheme="minorHAnsi"/>
              </w:rPr>
              <w:t>Approval of the creation or dissolution of sub committees, subsidiaries and the appointment of representatives to these</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4E42FB43" w14:textId="1DBC110A" w:rsidR="008474B3" w:rsidRPr="008474B3" w:rsidRDefault="008474B3">
            <w:pPr>
              <w:rPr>
                <w:rFonts w:cstheme="minorHAnsi"/>
                <w:lang w:eastAsia="en-GB"/>
              </w:rPr>
            </w:pPr>
            <w:r w:rsidRPr="008474B3">
              <w:rPr>
                <w:rFonts w:cstheme="minorHAnsi"/>
                <w:lang w:eastAsia="en-GB"/>
              </w:rPr>
              <w:t>Care &amp; Repair policy and strategy including business development areas</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7AAE0683" w14:textId="77777777" w:rsidR="008474B3" w:rsidRPr="008474B3" w:rsidRDefault="008474B3">
            <w:pPr>
              <w:rPr>
                <w:rFonts w:cstheme="minorHAnsi"/>
                <w:lang w:eastAsia="en-GB"/>
              </w:rPr>
            </w:pPr>
          </w:p>
        </w:tc>
      </w:tr>
      <w:tr w:rsidR="008474B3" w:rsidRPr="008474B3" w14:paraId="3760DFC1"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580AA8C" w14:textId="77777777" w:rsidR="008474B3" w:rsidRPr="008474B3" w:rsidRDefault="008474B3">
            <w:pPr>
              <w:pStyle w:val="Default"/>
              <w:rPr>
                <w:rFonts w:cstheme="minorHAnsi"/>
              </w:rPr>
            </w:pPr>
            <w:r w:rsidRPr="008474B3">
              <w:rPr>
                <w:rFonts w:cstheme="minorHAnsi"/>
              </w:rPr>
              <w:t>To note and ensure recording and notification of Notifiable Events and to monitor events annually and as they occur</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1B791B" w14:textId="77777777" w:rsidR="008474B3" w:rsidRPr="008474B3" w:rsidRDefault="008474B3">
            <w:pPr>
              <w:rPr>
                <w:rFonts w:cstheme="minorHAnsi"/>
                <w:lang w:eastAsia="en-GB"/>
              </w:rPr>
            </w:pPr>
            <w:r w:rsidRPr="008474B3">
              <w:rPr>
                <w:rFonts w:cstheme="minorHAnsi"/>
                <w:lang w:eastAsia="en-GB"/>
              </w:rPr>
              <w:t>Tender submission approval of terms for Care &amp; Repair Service.</w:t>
            </w: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01C149" w14:textId="4820647E" w:rsidR="008474B3" w:rsidRPr="008474B3" w:rsidRDefault="008474B3">
            <w:pPr>
              <w:rPr>
                <w:rFonts w:cstheme="minorHAnsi"/>
                <w:lang w:eastAsia="en-GB"/>
              </w:rPr>
            </w:pPr>
            <w:r w:rsidRPr="008474B3">
              <w:rPr>
                <w:rFonts w:cstheme="minorHAnsi"/>
                <w:lang w:eastAsia="en-GB"/>
              </w:rPr>
              <w:t>To report Notifiable Events as they occur and inform Board and Scottish Housing Regulator, and any other relevant bodies</w:t>
            </w:r>
          </w:p>
        </w:tc>
      </w:tr>
      <w:tr w:rsidR="008474B3" w:rsidRPr="008474B3" w14:paraId="236505CD"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hideMark/>
          </w:tcPr>
          <w:p w14:paraId="1A74C339" w14:textId="77777777" w:rsidR="008474B3" w:rsidRPr="008474B3" w:rsidRDefault="008474B3">
            <w:pPr>
              <w:pStyle w:val="Default"/>
              <w:rPr>
                <w:rFonts w:cstheme="minorHAnsi"/>
                <w:highlight w:val="green"/>
              </w:rPr>
            </w:pPr>
            <w:r w:rsidRPr="008474B3">
              <w:rPr>
                <w:rFonts w:cstheme="minorHAnsi"/>
              </w:rPr>
              <w:t>Removal of Board members, where permitted by the Rules.</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0C72243F"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cPr>
          <w:p w14:paraId="11E543C1" w14:textId="77777777" w:rsidR="008474B3" w:rsidRPr="008474B3" w:rsidRDefault="008474B3">
            <w:pPr>
              <w:rPr>
                <w:rFonts w:cstheme="minorHAnsi"/>
                <w:lang w:eastAsia="en-GB"/>
              </w:rPr>
            </w:pPr>
          </w:p>
        </w:tc>
      </w:tr>
      <w:tr w:rsidR="008474B3" w:rsidRPr="008474B3" w14:paraId="2CE328E2" w14:textId="77777777" w:rsidTr="00F61868">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9C5645" w14:textId="77777777" w:rsidR="008474B3" w:rsidRPr="008474B3" w:rsidRDefault="008474B3">
            <w:pPr>
              <w:pStyle w:val="Default"/>
              <w:rPr>
                <w:rFonts w:cstheme="minorHAnsi"/>
                <w:highlight w:val="green"/>
              </w:rPr>
            </w:pPr>
            <w:r w:rsidRPr="008474B3">
              <w:rPr>
                <w:rFonts w:cstheme="minorHAnsi"/>
              </w:rPr>
              <w:t>Consideration of any matter referred to the Board by a General Meeting of Bridgewater’s members; and reference of any matter to a General Meeting</w:t>
            </w:r>
          </w:p>
        </w:tc>
        <w:tc>
          <w:tcPr>
            <w:tcW w:w="464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A69C3E" w14:textId="77777777" w:rsidR="008474B3" w:rsidRPr="008474B3" w:rsidRDefault="008474B3">
            <w:pPr>
              <w:rPr>
                <w:rFonts w:cstheme="minorHAnsi"/>
                <w:lang w:eastAsia="en-GB"/>
              </w:rPr>
            </w:pPr>
          </w:p>
        </w:tc>
        <w:tc>
          <w:tcPr>
            <w:tcW w:w="4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C49DB6" w14:textId="77777777" w:rsidR="008474B3" w:rsidRPr="008474B3" w:rsidRDefault="008474B3">
            <w:pPr>
              <w:rPr>
                <w:rFonts w:cstheme="minorHAnsi"/>
                <w:lang w:eastAsia="en-GB"/>
              </w:rPr>
            </w:pPr>
          </w:p>
        </w:tc>
      </w:tr>
    </w:tbl>
    <w:p w14:paraId="68CC8CA0" w14:textId="0F4153C6" w:rsidR="008474B3" w:rsidRDefault="009620E0" w:rsidP="00BA37F5">
      <w:pPr>
        <w:pStyle w:val="Heading1"/>
      </w:pPr>
      <w:r w:rsidRPr="009620E0">
        <w:lastRenderedPageBreak/>
        <w:t>Staffing and Employment</w:t>
      </w:r>
    </w:p>
    <w:p w14:paraId="583793AB" w14:textId="52F1C9EA"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tbl>
      <w:tblPr>
        <w:tblStyle w:val="GridTable4-Accent5"/>
        <w:tblW w:w="0" w:type="auto"/>
        <w:tblInd w:w="0" w:type="dxa"/>
        <w:tblLook w:val="04A0" w:firstRow="1" w:lastRow="0" w:firstColumn="1" w:lastColumn="0" w:noHBand="0" w:noVBand="1"/>
      </w:tblPr>
      <w:tblGrid>
        <w:gridCol w:w="4649"/>
        <w:gridCol w:w="4649"/>
        <w:gridCol w:w="4650"/>
      </w:tblGrid>
      <w:tr w:rsidR="009620E0" w:rsidRPr="009620E0" w14:paraId="6FDDF091" w14:textId="77777777" w:rsidTr="00F618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9" w:type="dxa"/>
            <w:hideMark/>
          </w:tcPr>
          <w:p w14:paraId="253497EB"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sz w:val="22"/>
              </w:rPr>
              <w:t>Reserved to the Board</w:t>
            </w:r>
          </w:p>
        </w:tc>
        <w:tc>
          <w:tcPr>
            <w:tcW w:w="4649" w:type="dxa"/>
            <w:hideMark/>
          </w:tcPr>
          <w:p w14:paraId="6DB4CFF6"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9620E0">
              <w:rPr>
                <w:rFonts w:asciiTheme="minorHAnsi" w:hAnsiTheme="minorHAnsi" w:cstheme="minorHAnsi"/>
                <w:sz w:val="22"/>
              </w:rPr>
              <w:t>Delegated to Sub-Committees</w:t>
            </w:r>
          </w:p>
        </w:tc>
        <w:tc>
          <w:tcPr>
            <w:tcW w:w="4650" w:type="dxa"/>
            <w:hideMark/>
          </w:tcPr>
          <w:p w14:paraId="4C9AF60B"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9620E0">
              <w:rPr>
                <w:rFonts w:asciiTheme="minorHAnsi" w:hAnsiTheme="minorHAnsi" w:cstheme="minorHAnsi"/>
                <w:sz w:val="22"/>
              </w:rPr>
              <w:t>Delegated to the Leadership Team</w:t>
            </w:r>
          </w:p>
        </w:tc>
      </w:tr>
      <w:tr w:rsidR="009620E0" w:rsidRPr="009620E0" w14:paraId="6789D6A8"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062CC15"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b w:val="0"/>
                <w:bCs w:val="0"/>
                <w:sz w:val="22"/>
              </w:rPr>
              <w:t>Recruitment and line management of CEO</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93C2090"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2BA1378"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Recruitment of Section Heads (CEO with Board Member)</w:t>
            </w:r>
          </w:p>
        </w:tc>
      </w:tr>
      <w:tr w:rsidR="009620E0" w:rsidRPr="009620E0" w14:paraId="532A91AB" w14:textId="77777777" w:rsidTr="00F61868">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FCD2CF"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b w:val="0"/>
                <w:bCs w:val="0"/>
                <w:sz w:val="22"/>
              </w:rPr>
              <w:t>Arrange and monitor outcomes of CEO’s annual appraisal (Chair)</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3018A1"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Approval of staffing structure and any changes with financial impact to be reported to Board </w:t>
            </w:r>
            <w:proofErr w:type="spellStart"/>
            <w:r w:rsidRPr="009620E0">
              <w:rPr>
                <w:rFonts w:asciiTheme="minorHAnsi" w:hAnsiTheme="minorHAnsi" w:cstheme="minorHAnsi"/>
                <w:sz w:val="22"/>
              </w:rPr>
              <w:t>outwith</w:t>
            </w:r>
            <w:proofErr w:type="spellEnd"/>
            <w:r w:rsidRPr="009620E0">
              <w:rPr>
                <w:rFonts w:asciiTheme="minorHAnsi" w:hAnsiTheme="minorHAnsi" w:cstheme="minorHAnsi"/>
                <w:sz w:val="22"/>
              </w:rPr>
              <w:t xml:space="preserve"> budget</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2DB2A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Ensuring appropriate arrangements within agreed policy and budget for working environment, training and development and dignity at work</w:t>
            </w:r>
          </w:p>
        </w:tc>
      </w:tr>
      <w:tr w:rsidR="009620E0" w:rsidRPr="009620E0" w14:paraId="56E968CD"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3233C8B" w14:textId="77777777" w:rsidR="009620E0" w:rsidRPr="009620E0" w:rsidRDefault="009620E0">
            <w:pPr>
              <w:rPr>
                <w:rFonts w:asciiTheme="minorHAnsi" w:hAnsiTheme="minorHAnsi" w:cstheme="minorHAnsi"/>
                <w:b w:val="0"/>
                <w:bCs w:val="0"/>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D657CC"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Development and negotiation of terms and conditions of employment</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EF2E288"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Implementing Terms &amp; Conditions</w:t>
            </w:r>
          </w:p>
        </w:tc>
      </w:tr>
      <w:tr w:rsidR="009620E0" w:rsidRPr="009620E0" w14:paraId="677AD370" w14:textId="77777777" w:rsidTr="00F61868">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36661CE" w14:textId="77777777" w:rsidR="009620E0" w:rsidRPr="009620E0" w:rsidRDefault="009620E0">
            <w:pPr>
              <w:rPr>
                <w:rFonts w:asciiTheme="minorHAnsi" w:hAnsiTheme="minorHAnsi" w:cstheme="minorHAnsi"/>
                <w:b w:val="0"/>
                <w:bCs w:val="0"/>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C2F3CE"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Office Bearers to form panel for Grievance and Disciplinary issues relating to CEO and act as appeal where required in HR cases</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70FE2C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Recruitment of Staff (other than Leadership team) within agreed establishment</w:t>
            </w:r>
          </w:p>
        </w:tc>
      </w:tr>
      <w:tr w:rsidR="009620E0" w:rsidRPr="009620E0" w14:paraId="11599206"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E0E5AE8" w14:textId="77777777" w:rsidR="009620E0" w:rsidRPr="009620E0" w:rsidRDefault="009620E0">
            <w:pPr>
              <w:rPr>
                <w:rFonts w:asciiTheme="minorHAnsi" w:hAnsiTheme="minorHAnsi" w:cstheme="minorHAnsi"/>
                <w:b w:val="0"/>
                <w:bCs w:val="0"/>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7C273B6"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Staff re-grading and salary increases, out with Bridgewater’s established policies</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DDE9A8"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Employment of temporary staff within agreed budgets and per recruitment and selection policy</w:t>
            </w:r>
          </w:p>
        </w:tc>
      </w:tr>
      <w:tr w:rsidR="009620E0" w:rsidRPr="009620E0" w14:paraId="434E1A74" w14:textId="77777777" w:rsidTr="00F61868">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443A84D" w14:textId="77777777" w:rsidR="009620E0" w:rsidRPr="009620E0" w:rsidRDefault="009620E0">
            <w:pPr>
              <w:rPr>
                <w:rFonts w:asciiTheme="minorHAnsi" w:hAnsiTheme="minorHAnsi" w:cstheme="minorHAnsi"/>
                <w:b w:val="0"/>
                <w:bCs w:val="0"/>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9C6DB0" w14:textId="03CBD26F"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Office Bearers to form panel for appeal etc – Employment &amp; Governance</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28B90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Grievance and Disciplinary issues </w:t>
            </w:r>
          </w:p>
        </w:tc>
      </w:tr>
      <w:tr w:rsidR="009620E0" w:rsidRPr="009620E0" w14:paraId="6CC9536B"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659ABBC" w14:textId="77777777" w:rsidR="009620E0" w:rsidRPr="009620E0" w:rsidRDefault="009620E0">
            <w:pPr>
              <w:rPr>
                <w:rFonts w:asciiTheme="minorHAnsi" w:hAnsiTheme="minorHAnsi" w:cstheme="minorHAnsi"/>
                <w:b w:val="0"/>
                <w:bCs w:val="0"/>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91E0BBC"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Monitoring the staff and employment performance of the organisation quarterly</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0B50D3A"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Reporting to the Sub Committee quarterly on employment performance and statistics</w:t>
            </w:r>
          </w:p>
        </w:tc>
      </w:tr>
      <w:tr w:rsidR="009620E0" w:rsidRPr="009620E0" w14:paraId="0584C59B" w14:textId="77777777" w:rsidTr="00F61868">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9218B3"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b w:val="0"/>
                <w:bCs w:val="0"/>
                <w:sz w:val="22"/>
              </w:rPr>
              <w:t>Monitoring of serious breaches of Health &amp; Safety Policy and legislation referred by Sub-Committee or Leadership Team</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CA430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Monitoring of Health and Safety Policy and breaches</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F7924C8"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Implementation and monitoring of Health and Safety policies and reporting of any breaches</w:t>
            </w:r>
          </w:p>
        </w:tc>
      </w:tr>
    </w:tbl>
    <w:p w14:paraId="20DC05BA" w14:textId="3D548E58"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6FE58B46" w14:textId="29BB33D6"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0DC05643" w14:textId="26BA00B0"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48B92A31" w14:textId="029473DE"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142DCBDD" w14:textId="3BF2AA50"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677CA56A" w14:textId="33E2B1FE"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1AD338FD" w14:textId="6C6EE21B"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4E50770" w14:textId="115B479B"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5D6B8C8" w14:textId="497BC8B1"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2CCF07D7" w14:textId="1D6C9F45"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6B26DD93" w14:textId="4D0F437E"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5D9D129C" w14:textId="6DDFE2B4"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41091325" w14:textId="77777777" w:rsidR="005E7609" w:rsidRDefault="005E7609"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72E835B" w14:textId="639A18ED" w:rsidR="009620E0" w:rsidRDefault="009620E0" w:rsidP="00BA37F5">
      <w:pPr>
        <w:pStyle w:val="Heading1"/>
      </w:pPr>
      <w:r>
        <w:lastRenderedPageBreak/>
        <w:t>Tender and Procurement</w:t>
      </w:r>
    </w:p>
    <w:p w14:paraId="2FF213AC" w14:textId="343E01FA"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tbl>
      <w:tblPr>
        <w:tblStyle w:val="GridTable4-Accent5"/>
        <w:tblW w:w="13948" w:type="dxa"/>
        <w:tblInd w:w="0" w:type="dxa"/>
        <w:tblLook w:val="04A0" w:firstRow="1" w:lastRow="0" w:firstColumn="1" w:lastColumn="0" w:noHBand="0" w:noVBand="1"/>
      </w:tblPr>
      <w:tblGrid>
        <w:gridCol w:w="4649"/>
        <w:gridCol w:w="4649"/>
        <w:gridCol w:w="4650"/>
      </w:tblGrid>
      <w:tr w:rsidR="009620E0" w:rsidRPr="009620E0" w14:paraId="1A59382C" w14:textId="77777777" w:rsidTr="00F618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9" w:type="dxa"/>
            <w:hideMark/>
          </w:tcPr>
          <w:p w14:paraId="6F95E693" w14:textId="77777777" w:rsidR="009620E0" w:rsidRPr="009620E0" w:rsidRDefault="009620E0">
            <w:pPr>
              <w:rPr>
                <w:rFonts w:asciiTheme="minorHAnsi" w:hAnsiTheme="minorHAnsi" w:cstheme="minorHAnsi"/>
                <w:b w:val="0"/>
                <w:sz w:val="22"/>
                <w:szCs w:val="20"/>
              </w:rPr>
            </w:pPr>
            <w:r w:rsidRPr="009620E0">
              <w:rPr>
                <w:rFonts w:asciiTheme="minorHAnsi" w:hAnsiTheme="minorHAnsi" w:cstheme="minorHAnsi"/>
                <w:sz w:val="22"/>
                <w:szCs w:val="20"/>
              </w:rPr>
              <w:t>Reserved to the Board</w:t>
            </w:r>
          </w:p>
        </w:tc>
        <w:tc>
          <w:tcPr>
            <w:tcW w:w="4649" w:type="dxa"/>
            <w:hideMark/>
          </w:tcPr>
          <w:p w14:paraId="64BB8ABD"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0"/>
              </w:rPr>
            </w:pPr>
            <w:r w:rsidRPr="009620E0">
              <w:rPr>
                <w:rFonts w:asciiTheme="minorHAnsi" w:hAnsiTheme="minorHAnsi" w:cstheme="minorHAnsi"/>
                <w:sz w:val="22"/>
                <w:szCs w:val="20"/>
              </w:rPr>
              <w:t>Delegated to Sub-Committees</w:t>
            </w:r>
          </w:p>
        </w:tc>
        <w:tc>
          <w:tcPr>
            <w:tcW w:w="4650" w:type="dxa"/>
            <w:hideMark/>
          </w:tcPr>
          <w:p w14:paraId="09C65FE3"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highlight w:val="cyan"/>
              </w:rPr>
            </w:pPr>
            <w:r w:rsidRPr="009620E0">
              <w:rPr>
                <w:rFonts w:asciiTheme="minorHAnsi" w:hAnsiTheme="minorHAnsi" w:cstheme="minorHAnsi"/>
                <w:sz w:val="22"/>
                <w:szCs w:val="20"/>
              </w:rPr>
              <w:t>Delegated to the Leadership Team</w:t>
            </w:r>
          </w:p>
        </w:tc>
      </w:tr>
      <w:tr w:rsidR="009620E0" w:rsidRPr="009620E0" w14:paraId="034543CE"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CCA601" w14:textId="77777777" w:rsidR="009620E0" w:rsidRPr="009620E0" w:rsidRDefault="009620E0">
            <w:pPr>
              <w:rPr>
                <w:rFonts w:asciiTheme="minorHAnsi" w:hAnsiTheme="minorHAnsi" w:cstheme="minorHAnsi"/>
                <w:b w:val="0"/>
                <w:sz w:val="22"/>
                <w:szCs w:val="20"/>
              </w:rPr>
            </w:pPr>
            <w:r w:rsidRPr="009620E0">
              <w:rPr>
                <w:rFonts w:asciiTheme="minorHAnsi" w:hAnsiTheme="minorHAnsi" w:cstheme="minorHAnsi"/>
                <w:b w:val="0"/>
                <w:sz w:val="22"/>
                <w:szCs w:val="20"/>
              </w:rPr>
              <w:t>Approval of tender acceptance for contracts in accordance with levels in procurement and financial regulations (in excess of Sub-Committee Level)</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097325"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Approval of tender acceptance for contracts in accordance with levels in procurement and financial regulations (in excess of LT level)</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9312CD" w14:textId="20BA3854"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0"/>
              </w:rPr>
            </w:pPr>
            <w:r w:rsidRPr="009620E0">
              <w:rPr>
                <w:rFonts w:asciiTheme="minorHAnsi" w:hAnsiTheme="minorHAnsi" w:cstheme="minorHAnsi"/>
                <w:sz w:val="22"/>
                <w:szCs w:val="20"/>
              </w:rPr>
              <w:t xml:space="preserve">Procurement and Appointment of Contractors and Consultants to supply works goods and services up to £100k </w:t>
            </w:r>
            <w:r w:rsidRPr="009620E0">
              <w:rPr>
                <w:rFonts w:asciiTheme="minorHAnsi" w:hAnsiTheme="minorHAnsi" w:cstheme="minorHAnsi"/>
                <w:i/>
                <w:sz w:val="22"/>
                <w:szCs w:val="20"/>
              </w:rPr>
              <w:t>(excluding VAT but for whole contract cost)</w:t>
            </w:r>
            <w:r w:rsidRPr="009620E0">
              <w:rPr>
                <w:rFonts w:asciiTheme="minorHAnsi" w:hAnsiTheme="minorHAnsi" w:cstheme="minorHAnsi"/>
                <w:sz w:val="22"/>
                <w:szCs w:val="20"/>
              </w:rPr>
              <w:t xml:space="preserve"> in accordance with budget, business plan and approved programmes </w:t>
            </w:r>
          </w:p>
        </w:tc>
      </w:tr>
      <w:tr w:rsidR="009620E0" w:rsidRPr="009620E0" w14:paraId="09B851F0" w14:textId="77777777" w:rsidTr="00F61868">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46D6BC" w14:textId="1D3A799E" w:rsidR="009620E0" w:rsidRPr="009620E0" w:rsidRDefault="009620E0">
            <w:pPr>
              <w:rPr>
                <w:rFonts w:asciiTheme="minorHAnsi" w:hAnsiTheme="minorHAnsi" w:cstheme="minorHAnsi"/>
                <w:b w:val="0"/>
                <w:sz w:val="22"/>
                <w:szCs w:val="20"/>
              </w:rPr>
            </w:pPr>
            <w:r w:rsidRPr="009620E0">
              <w:rPr>
                <w:rFonts w:asciiTheme="minorHAnsi" w:hAnsiTheme="minorHAnsi" w:cstheme="minorHAnsi"/>
                <w:b w:val="0"/>
                <w:sz w:val="22"/>
                <w:szCs w:val="20"/>
              </w:rPr>
              <w:t>Approval of procurement methods for day-to-day maintenance contracts via procurement policy approval</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FA893D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B4B102C" w14:textId="17F32FAD"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 xml:space="preserve">Procure goods and services up to value of £100k </w:t>
            </w:r>
            <w:r w:rsidRPr="009620E0">
              <w:rPr>
                <w:rFonts w:asciiTheme="minorHAnsi" w:hAnsiTheme="minorHAnsi" w:cstheme="minorHAnsi"/>
                <w:i/>
                <w:sz w:val="22"/>
                <w:szCs w:val="20"/>
              </w:rPr>
              <w:t>(as above re VAT etc)</w:t>
            </w:r>
            <w:r w:rsidRPr="009620E0">
              <w:rPr>
                <w:rFonts w:asciiTheme="minorHAnsi" w:hAnsiTheme="minorHAnsi" w:cstheme="minorHAnsi"/>
                <w:sz w:val="22"/>
                <w:szCs w:val="20"/>
              </w:rPr>
              <w:t xml:space="preserve"> in accordance with our Procurement Policy.  Leadership Team to have authority subject to procurement rules, taking account of regulated procurement</w:t>
            </w:r>
          </w:p>
        </w:tc>
      </w:tr>
      <w:tr w:rsidR="009620E0" w:rsidRPr="009620E0" w14:paraId="35D13171" w14:textId="77777777" w:rsidTr="00F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F2C11AA" w14:textId="77777777" w:rsidR="009620E0" w:rsidRPr="009620E0" w:rsidRDefault="009620E0">
            <w:pPr>
              <w:rPr>
                <w:rFonts w:asciiTheme="minorHAnsi" w:hAnsiTheme="minorHAnsi" w:cstheme="minorHAnsi"/>
                <w:b w:val="0"/>
                <w:sz w:val="22"/>
                <w:szCs w:val="20"/>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8AEB0C6"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0"/>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C08C3F" w14:textId="19833412"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 xml:space="preserve">All works above £15k - 3 quotes to be sought where </w:t>
            </w:r>
            <w:r w:rsidR="006D3A26" w:rsidRPr="009620E0">
              <w:rPr>
                <w:rFonts w:asciiTheme="minorHAnsi" w:hAnsiTheme="minorHAnsi" w:cstheme="minorHAnsi"/>
                <w:sz w:val="22"/>
                <w:szCs w:val="20"/>
              </w:rPr>
              <w:t>possible:</w:t>
            </w:r>
            <w:r w:rsidRPr="009620E0">
              <w:rPr>
                <w:rFonts w:asciiTheme="minorHAnsi" w:hAnsiTheme="minorHAnsi" w:cstheme="minorHAnsi"/>
                <w:sz w:val="22"/>
                <w:szCs w:val="20"/>
              </w:rPr>
              <w:t xml:space="preserve"> regulated procurement above £50k for supplies and services and £2m for works</w:t>
            </w:r>
          </w:p>
        </w:tc>
      </w:tr>
      <w:tr w:rsidR="009620E0" w:rsidRPr="009620E0" w14:paraId="0EC21052" w14:textId="77777777" w:rsidTr="00F61868">
        <w:trPr>
          <w:trHeight w:val="7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5628CC0" w14:textId="77777777" w:rsidR="009620E0" w:rsidRPr="009620E0" w:rsidRDefault="009620E0">
            <w:pPr>
              <w:rPr>
                <w:rFonts w:asciiTheme="minorHAnsi" w:hAnsiTheme="minorHAnsi" w:cstheme="minorHAnsi"/>
                <w:b w:val="0"/>
                <w:sz w:val="22"/>
                <w:szCs w:val="20"/>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0BE6D48"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731A3B" w14:textId="0542FEDC"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10% operational thresholds in place against tender costs over £50k and 20% threshold under £50k – subject to documented evidence for audit</w:t>
            </w:r>
          </w:p>
        </w:tc>
      </w:tr>
      <w:tr w:rsidR="009620E0" w:rsidRPr="009620E0" w14:paraId="4B84C55A" w14:textId="77777777" w:rsidTr="00F6186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F8C6D2" w14:textId="77777777" w:rsidR="009620E0" w:rsidRPr="009620E0" w:rsidRDefault="009620E0">
            <w:pPr>
              <w:rPr>
                <w:rFonts w:asciiTheme="minorHAnsi" w:hAnsiTheme="minorHAnsi" w:cstheme="minorHAnsi"/>
                <w:b w:val="0"/>
                <w:sz w:val="22"/>
                <w:szCs w:val="20"/>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3F0467F"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0"/>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7CF6C90" w14:textId="21B05895"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Unbudgeted expenditure allowed for up to £15k – documented</w:t>
            </w:r>
          </w:p>
        </w:tc>
      </w:tr>
      <w:tr w:rsidR="009620E0" w:rsidRPr="009620E0" w14:paraId="0E8A4C7D" w14:textId="77777777" w:rsidTr="00F61868">
        <w:trPr>
          <w:trHeight w:val="70"/>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F93DCE5" w14:textId="77777777" w:rsidR="009620E0" w:rsidRPr="009620E0" w:rsidRDefault="009620E0">
            <w:pPr>
              <w:rPr>
                <w:rFonts w:asciiTheme="minorHAnsi" w:hAnsiTheme="minorHAnsi" w:cstheme="minorHAnsi"/>
                <w:b w:val="0"/>
                <w:sz w:val="22"/>
                <w:szCs w:val="20"/>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68E16CF"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0"/>
              </w:rPr>
            </w:pP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40DBFF8" w14:textId="6758580C"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9620E0">
              <w:rPr>
                <w:rFonts w:asciiTheme="minorHAnsi" w:hAnsiTheme="minorHAnsi" w:cstheme="minorHAnsi"/>
                <w:sz w:val="22"/>
                <w:szCs w:val="20"/>
              </w:rPr>
              <w:t>Sign all contracts and tender approvals procured and approved in line with delegated authorities including all care and repair contracts</w:t>
            </w:r>
          </w:p>
        </w:tc>
      </w:tr>
    </w:tbl>
    <w:p w14:paraId="49DE92E9" w14:textId="230FBD0B"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2DD41043" w14:textId="003368CC"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4F481647" w14:textId="1B8B762B"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5040FF5A" w14:textId="6890EE38"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1B0FC1F9" w14:textId="469128F3"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49DCD4A8" w14:textId="37D71DD4"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52A01DF7" w14:textId="63AA5F4D"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1A16ED42" w14:textId="7C98C01C"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0B0EE8C9" w14:textId="56052F2D"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1FEFA81E" w14:textId="48114769"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59ED700B" w14:textId="04F03B3A"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0F1CE2C3" w14:textId="6233F947"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EEEF999" w14:textId="30EA567F"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4F00EEC2" w14:textId="1B711D15" w:rsidR="009620E0" w:rsidRDefault="009620E0" w:rsidP="00BA37F5">
      <w:pPr>
        <w:pStyle w:val="Heading1"/>
      </w:pPr>
      <w:r>
        <w:t>Housing and Estate Management</w:t>
      </w:r>
    </w:p>
    <w:p w14:paraId="5D75646D" w14:textId="7B9A9378"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tbl>
      <w:tblPr>
        <w:tblStyle w:val="GridTable4-Accent5"/>
        <w:tblpPr w:leftFromText="180" w:rightFromText="180" w:vertAnchor="text" w:tblpY="1"/>
        <w:tblOverlap w:val="never"/>
        <w:tblW w:w="0" w:type="auto"/>
        <w:tblInd w:w="0" w:type="dxa"/>
        <w:tblLook w:val="0420" w:firstRow="1" w:lastRow="0" w:firstColumn="0" w:lastColumn="0" w:noHBand="0" w:noVBand="1"/>
      </w:tblPr>
      <w:tblGrid>
        <w:gridCol w:w="4649"/>
        <w:gridCol w:w="4649"/>
        <w:gridCol w:w="4650"/>
      </w:tblGrid>
      <w:tr w:rsidR="009620E0" w14:paraId="5D4CB60F" w14:textId="77777777" w:rsidTr="00F61868">
        <w:trPr>
          <w:cnfStyle w:val="100000000000" w:firstRow="1" w:lastRow="0" w:firstColumn="0" w:lastColumn="0" w:oddVBand="0" w:evenVBand="0" w:oddHBand="0" w:evenHBand="0" w:firstRowFirstColumn="0" w:firstRowLastColumn="0" w:lastRowFirstColumn="0" w:lastRowLastColumn="0"/>
          <w:tblHeader/>
        </w:trPr>
        <w:tc>
          <w:tcPr>
            <w:tcW w:w="4649" w:type="dxa"/>
            <w:hideMark/>
          </w:tcPr>
          <w:p w14:paraId="2CCF76A5" w14:textId="77777777" w:rsidR="009620E0" w:rsidRPr="009620E0" w:rsidRDefault="009620E0" w:rsidP="00065447">
            <w:pPr>
              <w:rPr>
                <w:rFonts w:asciiTheme="minorHAnsi" w:hAnsiTheme="minorHAnsi" w:cstheme="minorHAnsi"/>
                <w:b w:val="0"/>
                <w:bCs w:val="0"/>
                <w:sz w:val="22"/>
              </w:rPr>
            </w:pPr>
            <w:r w:rsidRPr="009620E0">
              <w:rPr>
                <w:rFonts w:asciiTheme="minorHAnsi" w:hAnsiTheme="minorHAnsi" w:cstheme="minorHAnsi"/>
                <w:sz w:val="22"/>
              </w:rPr>
              <w:t>Reserved to the Board</w:t>
            </w:r>
          </w:p>
        </w:tc>
        <w:tc>
          <w:tcPr>
            <w:tcW w:w="4649" w:type="dxa"/>
            <w:hideMark/>
          </w:tcPr>
          <w:p w14:paraId="2E0752D6" w14:textId="77777777" w:rsidR="009620E0" w:rsidRPr="009620E0" w:rsidRDefault="009620E0" w:rsidP="00065447">
            <w:pPr>
              <w:rPr>
                <w:rFonts w:asciiTheme="minorHAnsi" w:hAnsiTheme="minorHAnsi" w:cstheme="minorHAnsi"/>
                <w:b w:val="0"/>
                <w:bCs w:val="0"/>
                <w:sz w:val="22"/>
              </w:rPr>
            </w:pPr>
            <w:r w:rsidRPr="009620E0">
              <w:rPr>
                <w:rFonts w:asciiTheme="minorHAnsi" w:hAnsiTheme="minorHAnsi" w:cstheme="minorHAnsi"/>
                <w:sz w:val="22"/>
              </w:rPr>
              <w:t>Delegated to Sub-Committees</w:t>
            </w:r>
          </w:p>
        </w:tc>
        <w:tc>
          <w:tcPr>
            <w:tcW w:w="4650" w:type="dxa"/>
            <w:hideMark/>
          </w:tcPr>
          <w:p w14:paraId="6A01ACBD" w14:textId="77777777" w:rsidR="009620E0" w:rsidRPr="009620E0" w:rsidRDefault="009620E0" w:rsidP="00065447">
            <w:pPr>
              <w:rPr>
                <w:rFonts w:asciiTheme="minorHAnsi" w:hAnsiTheme="minorHAnsi" w:cstheme="minorHAnsi"/>
                <w:b w:val="0"/>
                <w:bCs w:val="0"/>
                <w:sz w:val="22"/>
              </w:rPr>
            </w:pPr>
            <w:r w:rsidRPr="009620E0">
              <w:rPr>
                <w:rFonts w:asciiTheme="minorHAnsi" w:hAnsiTheme="minorHAnsi" w:cstheme="minorHAnsi"/>
                <w:sz w:val="22"/>
              </w:rPr>
              <w:t>Delegated to the Leadership Team</w:t>
            </w:r>
          </w:p>
        </w:tc>
      </w:tr>
      <w:tr w:rsidR="009620E0" w14:paraId="236DA4FD"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F150C3"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the annual rents and service charges / increase</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EB43795"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Dealing with appeals where customers have a right of appeal</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2C53ACD"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Signing tenancy agreements, Occupancy Agreements &amp; Leases and Approval of Temporary &amp; Supported Accommodation</w:t>
            </w:r>
          </w:p>
        </w:tc>
      </w:tr>
      <w:tr w:rsidR="009620E0" w14:paraId="179B3656" w14:textId="77777777" w:rsidTr="00F61868">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05F4192"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6358B4"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Monitoring the service performance of housing and estate functions quarterly</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4EC2FC"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Agree Operational Key Performance Indicators</w:t>
            </w:r>
          </w:p>
        </w:tc>
      </w:tr>
      <w:tr w:rsidR="009620E0" w14:paraId="63B6AEEA"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8802D3A"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Tenant / Customer Engagement Strategy</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53D573"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Monitoring of progress against Tenant / Customer Engagement Strategy</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306C47"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Initiating ASBO or equivalent and instruct recovery action for breach of tenancy conditions</w:t>
            </w:r>
          </w:p>
        </w:tc>
      </w:tr>
      <w:tr w:rsidR="009620E0" w14:paraId="0E9F7BEF" w14:textId="77777777" w:rsidTr="00F61868">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2614004"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Allocations Policy</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7E1C0B5"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Local Lettings Plans and Annual Lettings Plan, including quotas</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AA9EEB"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Agreeing Eviction in accordance with legislation and policy</w:t>
            </w:r>
          </w:p>
        </w:tc>
      </w:tr>
      <w:tr w:rsidR="009620E0" w14:paraId="6CD05C07"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7623C25"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EAA1363"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Tenancy and any other occupancy agreements</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B67C6E"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Approving the terms of the periodic satisfaction survey and commissioning the project</w:t>
            </w:r>
          </w:p>
        </w:tc>
      </w:tr>
      <w:tr w:rsidR="009620E0" w14:paraId="15D3448B" w14:textId="77777777" w:rsidTr="00F61868">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067711B"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6AD653" w14:textId="77777777" w:rsidR="009620E0" w:rsidRPr="009620E0" w:rsidRDefault="009620E0" w:rsidP="00065447">
            <w:pPr>
              <w:rPr>
                <w:rFonts w:asciiTheme="minorHAnsi" w:hAnsiTheme="minorHAnsi" w:cstheme="minorHAnsi"/>
                <w:sz w:val="22"/>
                <w:highlight w:val="green"/>
              </w:rPr>
            </w:pPr>
            <w:r w:rsidRPr="009620E0">
              <w:rPr>
                <w:rFonts w:asciiTheme="minorHAnsi" w:hAnsiTheme="minorHAnsi" w:cstheme="minorHAnsi"/>
                <w:sz w:val="22"/>
              </w:rPr>
              <w:t>Approve Entitlements Payments and Benefits cases as per policy (E-Mail Approvals can be followed up with ratification)</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AD0CDC" w14:textId="77777777" w:rsidR="009620E0" w:rsidRPr="009620E0" w:rsidRDefault="009620E0" w:rsidP="00065447">
            <w:pPr>
              <w:rPr>
                <w:rFonts w:asciiTheme="minorHAnsi" w:hAnsiTheme="minorHAnsi" w:cstheme="minorHAnsi"/>
                <w:sz w:val="22"/>
                <w:highlight w:val="yellow"/>
              </w:rPr>
            </w:pPr>
            <w:r w:rsidRPr="009620E0">
              <w:rPr>
                <w:rFonts w:asciiTheme="minorHAnsi" w:hAnsiTheme="minorHAnsi" w:cstheme="minorHAnsi"/>
                <w:sz w:val="22"/>
              </w:rPr>
              <w:t>Comply with Entitlements, Payments and Benefits Policy</w:t>
            </w:r>
          </w:p>
        </w:tc>
      </w:tr>
      <w:tr w:rsidR="009620E0" w14:paraId="2D523047" w14:textId="77777777" w:rsidTr="00F61868">
        <w:trPr>
          <w:cnfStyle w:val="000000100000" w:firstRow="0" w:lastRow="0" w:firstColumn="0" w:lastColumn="0" w:oddVBand="0" w:evenVBand="0" w:oddHBand="1" w:evenHBand="0" w:firstRowFirstColumn="0" w:firstRowLastColumn="0" w:lastRowFirstColumn="0" w:lastRowLastColumn="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4F93C45"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88A109D"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 xml:space="preserve">Approve Write Offs as per Policy </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3AC1FF0"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Approve Write Offs as per Policy</w:t>
            </w:r>
          </w:p>
        </w:tc>
      </w:tr>
      <w:tr w:rsidR="009620E0" w14:paraId="15A2A39A" w14:textId="77777777" w:rsidTr="00F61868">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12D175"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DFA6225"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Approve any departure from agreed Policy of arrears management following case being made.</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994342F"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to enter into leases, management agreements or leases involving heritable property with third parties including temporary decant agreements with other RSL’s</w:t>
            </w:r>
          </w:p>
        </w:tc>
      </w:tr>
      <w:tr w:rsidR="009620E0" w14:paraId="666D8620" w14:textId="77777777" w:rsidTr="00F61868">
        <w:trPr>
          <w:cnfStyle w:val="000000100000" w:firstRow="0" w:lastRow="0" w:firstColumn="0" w:lastColumn="0" w:oddVBand="0" w:evenVBand="0" w:oddHBand="1" w:evenHBand="0" w:firstRowFirstColumn="0" w:firstRowLastColumn="0" w:lastRowFirstColumn="0" w:lastRowLastColumn="0"/>
          <w:trHeight w:val="4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6B0B16"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Approval of Acquisition and Disposal Strategy</w:t>
            </w: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95110C"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Approve any stock disposal in line with strategy and former S66 consent</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5BBF332"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Purchase of Properties as per Acquisition Strategy &amp; Budget</w:t>
            </w:r>
          </w:p>
        </w:tc>
      </w:tr>
      <w:tr w:rsidR="009620E0" w14:paraId="3AD53702" w14:textId="77777777" w:rsidTr="00F61868">
        <w:trPr>
          <w:trHeight w:val="40"/>
        </w:trPr>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2BF65F9" w14:textId="77777777" w:rsidR="009620E0" w:rsidRPr="009620E0" w:rsidRDefault="009620E0" w:rsidP="00065447">
            <w:pPr>
              <w:rPr>
                <w:rFonts w:asciiTheme="minorHAnsi" w:hAnsiTheme="minorHAnsi" w:cstheme="minorHAnsi"/>
                <w:sz w:val="22"/>
              </w:rPr>
            </w:pPr>
          </w:p>
        </w:tc>
        <w:tc>
          <w:tcPr>
            <w:tcW w:w="464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B7CDF5"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Monitor, review and make decisions on reports presented to Subs– otherwise recommend to the Board should significant financial implication be applicable.</w:t>
            </w:r>
          </w:p>
        </w:tc>
        <w:tc>
          <w:tcPr>
            <w:tcW w:w="46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651B4D" w14:textId="77777777" w:rsidR="009620E0" w:rsidRPr="009620E0" w:rsidRDefault="009620E0" w:rsidP="00065447">
            <w:pPr>
              <w:rPr>
                <w:rFonts w:asciiTheme="minorHAnsi" w:hAnsiTheme="minorHAnsi" w:cstheme="minorHAnsi"/>
                <w:sz w:val="22"/>
              </w:rPr>
            </w:pPr>
            <w:r w:rsidRPr="009620E0">
              <w:rPr>
                <w:rFonts w:asciiTheme="minorHAnsi" w:hAnsiTheme="minorHAnsi" w:cstheme="minorHAnsi"/>
                <w:sz w:val="22"/>
              </w:rPr>
              <w:t>Initiating court action and enforcement of decrees for eviction (Housing Officer level)</w:t>
            </w:r>
          </w:p>
        </w:tc>
      </w:tr>
    </w:tbl>
    <w:p w14:paraId="20AC1FFF" w14:textId="77777777" w:rsidR="009620E0" w:rsidRDefault="009620E0" w:rsidP="009620E0">
      <w:pPr>
        <w:spacing w:after="0"/>
      </w:pPr>
      <w:r>
        <w:br w:type="textWrapping" w:clear="all"/>
      </w:r>
    </w:p>
    <w:p w14:paraId="741855AE" w14:textId="5339F2EA"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128D0A6" w14:textId="45D961BF"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394B19FA" w14:textId="5971637D"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6E02A127" w14:textId="75ED40D6" w:rsidR="006D3A26" w:rsidRDefault="006D3A26"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29DD52B2" w14:textId="77777777" w:rsidR="006D3A26" w:rsidRDefault="006D3A26"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0734C787" w14:textId="0ED74C54"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p w14:paraId="7497F486" w14:textId="2EBD1FC6" w:rsidR="009620E0" w:rsidRDefault="009620E0" w:rsidP="00BA37F5">
      <w:pPr>
        <w:pStyle w:val="Heading1"/>
      </w:pPr>
      <w:r>
        <w:t>Development and Property Management</w:t>
      </w:r>
    </w:p>
    <w:p w14:paraId="2878B1B1" w14:textId="3945A712" w:rsid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tbl>
      <w:tblPr>
        <w:tblStyle w:val="GridTable4-Accent5"/>
        <w:tblW w:w="0" w:type="auto"/>
        <w:tblInd w:w="0" w:type="dxa"/>
        <w:tblLook w:val="04A0" w:firstRow="1" w:lastRow="0" w:firstColumn="1" w:lastColumn="0" w:noHBand="0" w:noVBand="1"/>
      </w:tblPr>
      <w:tblGrid>
        <w:gridCol w:w="4633"/>
        <w:gridCol w:w="4654"/>
        <w:gridCol w:w="4661"/>
      </w:tblGrid>
      <w:tr w:rsidR="009620E0" w:rsidRPr="009620E0" w14:paraId="03E592CF" w14:textId="77777777" w:rsidTr="005E7609">
        <w:trPr>
          <w:cnfStyle w:val="100000000000" w:firstRow="1" w:lastRow="0" w:firstColumn="0" w:lastColumn="0" w:oddVBand="0" w:evenVBand="0" w:oddHBand="0" w:evenHBand="0" w:firstRowFirstColumn="0" w:firstRowLastColumn="0" w:lastRowFirstColumn="0" w:lastRowLastColumn="0"/>
          <w:trHeight w:val="298"/>
          <w:tblHeader/>
        </w:trPr>
        <w:tc>
          <w:tcPr>
            <w:cnfStyle w:val="001000000000" w:firstRow="0" w:lastRow="0" w:firstColumn="1" w:lastColumn="0" w:oddVBand="0" w:evenVBand="0" w:oddHBand="0" w:evenHBand="0" w:firstRowFirstColumn="0" w:firstRowLastColumn="0" w:lastRowFirstColumn="0" w:lastRowLastColumn="0"/>
            <w:tcW w:w="4633" w:type="dxa"/>
            <w:shd w:val="clear" w:color="auto" w:fill="5B9BD5"/>
            <w:hideMark/>
          </w:tcPr>
          <w:p w14:paraId="1D9AF70D" w14:textId="77777777" w:rsidR="009620E0" w:rsidRPr="009620E0" w:rsidRDefault="009620E0">
            <w:pPr>
              <w:rPr>
                <w:rFonts w:asciiTheme="minorHAnsi" w:hAnsiTheme="minorHAnsi" w:cstheme="minorHAnsi"/>
                <w:sz w:val="22"/>
              </w:rPr>
            </w:pPr>
            <w:r w:rsidRPr="009620E0">
              <w:rPr>
                <w:rFonts w:asciiTheme="minorHAnsi" w:hAnsiTheme="minorHAnsi" w:cstheme="minorHAnsi"/>
                <w:sz w:val="22"/>
              </w:rPr>
              <w:t>Reserved to the Board</w:t>
            </w:r>
          </w:p>
        </w:tc>
        <w:tc>
          <w:tcPr>
            <w:tcW w:w="4654" w:type="dxa"/>
            <w:shd w:val="clear" w:color="auto" w:fill="5B9BD5"/>
            <w:hideMark/>
          </w:tcPr>
          <w:p w14:paraId="5D047893"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Delegated to Sub-Committees</w:t>
            </w:r>
          </w:p>
        </w:tc>
        <w:tc>
          <w:tcPr>
            <w:tcW w:w="4661" w:type="dxa"/>
            <w:shd w:val="clear" w:color="auto" w:fill="5B9BD5"/>
            <w:hideMark/>
          </w:tcPr>
          <w:p w14:paraId="0F928ADA" w14:textId="77777777" w:rsidR="009620E0" w:rsidRPr="009620E0" w:rsidRDefault="009620E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Delegated to the Leadership Team</w:t>
            </w:r>
          </w:p>
        </w:tc>
      </w:tr>
      <w:tr w:rsidR="009620E0" w:rsidRPr="009620E0" w14:paraId="75032690" w14:textId="77777777" w:rsidTr="0096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3DB8DD"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b w:val="0"/>
                <w:bCs w:val="0"/>
                <w:sz w:val="22"/>
              </w:rPr>
              <w:t>Approving Site Acquisition (within agreed plans)</w:t>
            </w: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E9A975"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Agreeing savings to individual schemes – over 10% of agreed costs</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216F007"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Agreeing savings to individual schemes – up to 10% agreed costs</w:t>
            </w:r>
          </w:p>
        </w:tc>
      </w:tr>
      <w:tr w:rsidR="009620E0" w:rsidRPr="009620E0" w14:paraId="1C637481" w14:textId="77777777" w:rsidTr="009620E0">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4EB636B" w14:textId="77777777" w:rsidR="009620E0" w:rsidRPr="009620E0" w:rsidRDefault="009620E0">
            <w:pPr>
              <w:rPr>
                <w:rFonts w:asciiTheme="minorHAnsi" w:hAnsiTheme="minorHAnsi" w:cstheme="minorHAnsi"/>
                <w:b w:val="0"/>
                <w:bCs w:val="0"/>
                <w:sz w:val="22"/>
              </w:rPr>
            </w:pPr>
            <w:r w:rsidRPr="009620E0">
              <w:rPr>
                <w:rFonts w:asciiTheme="minorHAnsi" w:hAnsiTheme="minorHAnsi" w:cstheme="minorHAnsi"/>
                <w:b w:val="0"/>
                <w:bCs w:val="0"/>
                <w:sz w:val="22"/>
              </w:rPr>
              <w:t>Approving the Affordable Housing Supply Programme</w:t>
            </w: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51B226"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Monitoring claims against contractors/consultants</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2C3113"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Reporting on and applying for appropriate funding and grants through the Affordable Housing Supply Programme</w:t>
            </w:r>
          </w:p>
        </w:tc>
      </w:tr>
      <w:tr w:rsidR="009620E0" w:rsidRPr="009620E0" w14:paraId="1A76D99E" w14:textId="77777777" w:rsidTr="0096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E794118" w14:textId="77777777" w:rsidR="009620E0" w:rsidRPr="009620E0" w:rsidRDefault="009620E0">
            <w:pPr>
              <w:rPr>
                <w:rFonts w:asciiTheme="minorHAnsi" w:hAnsiTheme="minorHAnsi" w:cstheme="minorHAnsi"/>
                <w:b w:val="0"/>
                <w:bCs w:val="0"/>
                <w:sz w:val="22"/>
                <w:highlight w:val="cyan"/>
              </w:rPr>
            </w:pPr>
            <w:r w:rsidRPr="009620E0">
              <w:rPr>
                <w:rFonts w:asciiTheme="minorHAnsi" w:hAnsiTheme="minorHAnsi" w:cstheme="minorHAnsi"/>
                <w:b w:val="0"/>
                <w:bCs w:val="0"/>
                <w:sz w:val="22"/>
              </w:rPr>
              <w:t>Approval of annual budget/programme for repairs and planned maintenance works</w:t>
            </w: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CC31373"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CE2BE5"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Approving individual scheme design proposals  </w:t>
            </w:r>
          </w:p>
        </w:tc>
      </w:tr>
      <w:tr w:rsidR="009620E0" w:rsidRPr="009620E0" w14:paraId="6E4773FA" w14:textId="77777777" w:rsidTr="009620E0">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C874BAD"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6F1E6A"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Dealing with appeals where customers have a right of appeal</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EE97EF"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Ensuring borrowings and investments comply with statutory and regulatory requirements and Bridgewater HA’s Rules</w:t>
            </w:r>
          </w:p>
        </w:tc>
      </w:tr>
      <w:tr w:rsidR="009620E0" w:rsidRPr="009620E0" w14:paraId="0CDEA002" w14:textId="77777777" w:rsidTr="0096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6393AF3"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C97634E"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Approval of applications from contractors to join Bridgewater’s approved list</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C977CE"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Approval and reporting of Claims against </w:t>
            </w:r>
          </w:p>
          <w:p w14:paraId="2A061D30"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Contractors/Consultants </w:t>
            </w:r>
          </w:p>
          <w:p w14:paraId="479A7DF3"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highlight w:val="yellow"/>
              </w:rPr>
            </w:pPr>
            <w:r w:rsidRPr="009620E0">
              <w:rPr>
                <w:rFonts w:asciiTheme="minorHAnsi" w:hAnsiTheme="minorHAnsi" w:cstheme="minorHAnsi"/>
                <w:sz w:val="22"/>
              </w:rPr>
              <w:t>Intimation of claims</w:t>
            </w:r>
          </w:p>
        </w:tc>
      </w:tr>
      <w:tr w:rsidR="009620E0" w:rsidRPr="009620E0" w14:paraId="34937C9E" w14:textId="77777777" w:rsidTr="009620E0">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3AD2034"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B93C90" w14:textId="77777777"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Monitoring the development and property management performance of the organisation quarterly</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45539B3" w14:textId="2CB5332F"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Adding contractors to Bridgewater’s approved list on a trial basis.  Removing contractors from the list who do not perform to Bridgewater’s requirements</w:t>
            </w:r>
          </w:p>
        </w:tc>
      </w:tr>
      <w:tr w:rsidR="009620E0" w:rsidRPr="009620E0" w14:paraId="1213DDAD" w14:textId="77777777" w:rsidTr="0096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9208527"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FA0F526"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E96D53" w14:textId="77777777"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Negotiating terms of loans to fund individual developments  </w:t>
            </w:r>
          </w:p>
        </w:tc>
      </w:tr>
      <w:tr w:rsidR="009620E0" w:rsidRPr="009620E0" w14:paraId="3B0916F1" w14:textId="77777777" w:rsidTr="009620E0">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F2BE521"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201EE10" w14:textId="4DED8932"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Approval and review of planned </w:t>
            </w:r>
            <w:r w:rsidR="005E7609" w:rsidRPr="009620E0">
              <w:rPr>
                <w:rFonts w:asciiTheme="minorHAnsi" w:hAnsiTheme="minorHAnsi" w:cstheme="minorHAnsi"/>
                <w:sz w:val="22"/>
              </w:rPr>
              <w:t>maintenance programme</w:t>
            </w:r>
            <w:r w:rsidRPr="009620E0">
              <w:rPr>
                <w:rFonts w:asciiTheme="minorHAnsi" w:hAnsiTheme="minorHAnsi" w:cstheme="minorHAnsi"/>
                <w:sz w:val="22"/>
              </w:rPr>
              <w:t xml:space="preserve"> in accordance with the annual budget approved by Board</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F16DC2A" w14:textId="2221120F" w:rsidR="009620E0" w:rsidRPr="009620E0" w:rsidRDefault="009620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 xml:space="preserve">Implementation of planned maintenance programme and exception reporting of </w:t>
            </w:r>
            <w:r w:rsidR="005E7609" w:rsidRPr="009620E0">
              <w:rPr>
                <w:rFonts w:asciiTheme="minorHAnsi" w:hAnsiTheme="minorHAnsi" w:cstheme="minorHAnsi"/>
                <w:sz w:val="22"/>
              </w:rPr>
              <w:t>material variances</w:t>
            </w:r>
          </w:p>
        </w:tc>
      </w:tr>
      <w:tr w:rsidR="009620E0" w:rsidRPr="009620E0" w14:paraId="053DF1E5" w14:textId="77777777" w:rsidTr="0096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6C1F3AA" w14:textId="77777777" w:rsidR="009620E0" w:rsidRPr="009620E0" w:rsidRDefault="009620E0">
            <w:pPr>
              <w:rPr>
                <w:rFonts w:asciiTheme="minorHAnsi" w:hAnsiTheme="minorHAnsi" w:cstheme="minorHAnsi"/>
                <w:b w:val="0"/>
                <w:bCs w:val="0"/>
                <w:sz w:val="22"/>
              </w:rPr>
            </w:pPr>
          </w:p>
        </w:tc>
        <w:tc>
          <w:tcPr>
            <w:tcW w:w="46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ADB1FA" w14:textId="02645A4C"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Agree the implementation of our Factoring Policy and review and agree on the annual management fee for factoring</w:t>
            </w:r>
          </w:p>
        </w:tc>
        <w:tc>
          <w:tcPr>
            <w:tcW w:w="466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9188E7" w14:textId="12F2A9AF" w:rsidR="009620E0" w:rsidRPr="009620E0" w:rsidRDefault="009620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20E0">
              <w:rPr>
                <w:rFonts w:asciiTheme="minorHAnsi" w:hAnsiTheme="minorHAnsi" w:cstheme="minorHAnsi"/>
                <w:sz w:val="22"/>
              </w:rPr>
              <w:t>Action required in respect of health and safety management, equal opportunities and other legal obligations</w:t>
            </w:r>
          </w:p>
        </w:tc>
      </w:tr>
    </w:tbl>
    <w:p w14:paraId="347587DA" w14:textId="77777777" w:rsidR="009620E0" w:rsidRDefault="009620E0" w:rsidP="009620E0">
      <w:pPr>
        <w:spacing w:after="0"/>
      </w:pPr>
    </w:p>
    <w:p w14:paraId="40273A3A" w14:textId="77777777" w:rsidR="009620E0" w:rsidRPr="009620E0" w:rsidRDefault="009620E0" w:rsidP="00CA6646">
      <w:pPr>
        <w:widowControl w:val="0"/>
        <w:overflowPunct w:val="0"/>
        <w:autoSpaceDE w:val="0"/>
        <w:autoSpaceDN w:val="0"/>
        <w:adjustRightInd w:val="0"/>
        <w:spacing w:after="0" w:line="240" w:lineRule="auto"/>
        <w:jc w:val="both"/>
        <w:rPr>
          <w:rFonts w:asciiTheme="minorHAnsi" w:hAnsiTheme="minorHAnsi" w:cstheme="minorHAnsi"/>
          <w:b/>
          <w:bCs/>
          <w:sz w:val="22"/>
        </w:rPr>
      </w:pPr>
    </w:p>
    <w:sectPr w:rsidR="009620E0" w:rsidRPr="009620E0" w:rsidSect="006D3A26">
      <w:pgSz w:w="16838" w:h="11906" w:orient="landscape"/>
      <w:pgMar w:top="680" w:right="1440" w:bottom="68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CD"/>
    <w:multiLevelType w:val="hybridMultilevel"/>
    <w:tmpl w:val="D0B8BE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420236"/>
    <w:multiLevelType w:val="hybridMultilevel"/>
    <w:tmpl w:val="16AE7590"/>
    <w:lvl w:ilvl="0" w:tplc="08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DEF39FC"/>
    <w:multiLevelType w:val="hybridMultilevel"/>
    <w:tmpl w:val="3D322C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D341F6"/>
    <w:multiLevelType w:val="hybridMultilevel"/>
    <w:tmpl w:val="5D40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3420A"/>
    <w:multiLevelType w:val="hybridMultilevel"/>
    <w:tmpl w:val="49409E9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A9A0AF6"/>
    <w:multiLevelType w:val="multilevel"/>
    <w:tmpl w:val="6D0AAE00"/>
    <w:lvl w:ilvl="0">
      <w:start w:val="1"/>
      <w:numFmt w:val="decimal"/>
      <w:lvlText w:val="%1."/>
      <w:lvlJc w:val="left"/>
      <w:pPr>
        <w:ind w:left="1069" w:hanging="360"/>
      </w:pPr>
      <w:rPr>
        <w:rFonts w:hint="default"/>
      </w:rPr>
    </w:lvl>
    <w:lvl w:ilv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FF514A3"/>
    <w:multiLevelType w:val="hybridMultilevel"/>
    <w:tmpl w:val="E7402A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2F5F4A"/>
    <w:multiLevelType w:val="hybridMultilevel"/>
    <w:tmpl w:val="B048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500FE"/>
    <w:multiLevelType w:val="hybridMultilevel"/>
    <w:tmpl w:val="80D6F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0B4645"/>
    <w:multiLevelType w:val="hybridMultilevel"/>
    <w:tmpl w:val="15B87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6984B0C"/>
    <w:multiLevelType w:val="hybridMultilevel"/>
    <w:tmpl w:val="82C8C0EA"/>
    <w:lvl w:ilvl="0" w:tplc="74D0C9D8">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5E3426">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92839B8">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D38A71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CBACEB4">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A980148">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3DA780C">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9A69BB4">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87675B6">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7400A9E"/>
    <w:multiLevelType w:val="hybridMultilevel"/>
    <w:tmpl w:val="55423D6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1A1F1F"/>
    <w:multiLevelType w:val="hybridMultilevel"/>
    <w:tmpl w:val="2ED044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47D61BB"/>
    <w:multiLevelType w:val="hybridMultilevel"/>
    <w:tmpl w:val="34586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807211B"/>
    <w:multiLevelType w:val="hybridMultilevel"/>
    <w:tmpl w:val="28C200D0"/>
    <w:lvl w:ilvl="0" w:tplc="ED36B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93AA7"/>
    <w:multiLevelType w:val="hybridMultilevel"/>
    <w:tmpl w:val="9C2A6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047013"/>
    <w:multiLevelType w:val="hybridMultilevel"/>
    <w:tmpl w:val="C5F0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E84A04"/>
    <w:multiLevelType w:val="hybridMultilevel"/>
    <w:tmpl w:val="5DCA6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76EF10CF"/>
    <w:multiLevelType w:val="hybridMultilevel"/>
    <w:tmpl w:val="1430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C04E8A"/>
    <w:multiLevelType w:val="hybridMultilevel"/>
    <w:tmpl w:val="8A36D5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725186560">
    <w:abstractNumId w:val="15"/>
  </w:num>
  <w:num w:numId="2" w16cid:durableId="1861625412">
    <w:abstractNumId w:val="18"/>
  </w:num>
  <w:num w:numId="3" w16cid:durableId="826946466">
    <w:abstractNumId w:val="14"/>
  </w:num>
  <w:num w:numId="4" w16cid:durableId="11535654">
    <w:abstractNumId w:val="7"/>
  </w:num>
  <w:num w:numId="5" w16cid:durableId="1028719763">
    <w:abstractNumId w:val="5"/>
  </w:num>
  <w:num w:numId="6" w16cid:durableId="1912543589">
    <w:abstractNumId w:val="16"/>
  </w:num>
  <w:num w:numId="7" w16cid:durableId="1627930412">
    <w:abstractNumId w:val="3"/>
  </w:num>
  <w:num w:numId="8" w16cid:durableId="1089471458">
    <w:abstractNumId w:val="2"/>
  </w:num>
  <w:num w:numId="9" w16cid:durableId="1238906547">
    <w:abstractNumId w:val="4"/>
  </w:num>
  <w:num w:numId="10" w16cid:durableId="252781336">
    <w:abstractNumId w:val="1"/>
  </w:num>
  <w:num w:numId="11" w16cid:durableId="637760027">
    <w:abstractNumId w:val="8"/>
  </w:num>
  <w:num w:numId="12" w16cid:durableId="257255395">
    <w:abstractNumId w:val="11"/>
  </w:num>
  <w:num w:numId="13" w16cid:durableId="69083592">
    <w:abstractNumId w:val="13"/>
  </w:num>
  <w:num w:numId="14" w16cid:durableId="1050417309">
    <w:abstractNumId w:val="9"/>
  </w:num>
  <w:num w:numId="15" w16cid:durableId="1441493648">
    <w:abstractNumId w:val="17"/>
  </w:num>
  <w:num w:numId="16" w16cid:durableId="1626155125">
    <w:abstractNumId w:val="0"/>
  </w:num>
  <w:num w:numId="17" w16cid:durableId="1022440666">
    <w:abstractNumId w:val="12"/>
  </w:num>
  <w:num w:numId="18" w16cid:durableId="2011593135">
    <w:abstractNumId w:val="10"/>
  </w:num>
  <w:num w:numId="19" w16cid:durableId="1225413111">
    <w:abstractNumId w:val="19"/>
  </w:num>
  <w:num w:numId="20" w16cid:durableId="186759398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7FA0"/>
    <w:rsid w:val="00060309"/>
    <w:rsid w:val="00061B33"/>
    <w:rsid w:val="00065907"/>
    <w:rsid w:val="000712F3"/>
    <w:rsid w:val="000805AA"/>
    <w:rsid w:val="000B7223"/>
    <w:rsid w:val="000C1BE9"/>
    <w:rsid w:val="000C6E54"/>
    <w:rsid w:val="000D18CC"/>
    <w:rsid w:val="000D36A5"/>
    <w:rsid w:val="000E4EB1"/>
    <w:rsid w:val="000F6D5F"/>
    <w:rsid w:val="001006E0"/>
    <w:rsid w:val="00111F0E"/>
    <w:rsid w:val="00122008"/>
    <w:rsid w:val="00122E98"/>
    <w:rsid w:val="0013029C"/>
    <w:rsid w:val="00130F0A"/>
    <w:rsid w:val="00144D73"/>
    <w:rsid w:val="0015211F"/>
    <w:rsid w:val="00152CFC"/>
    <w:rsid w:val="00161370"/>
    <w:rsid w:val="001669AF"/>
    <w:rsid w:val="001742DB"/>
    <w:rsid w:val="00180C68"/>
    <w:rsid w:val="00181834"/>
    <w:rsid w:val="00183CD4"/>
    <w:rsid w:val="00191278"/>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C4EEF"/>
    <w:rsid w:val="002F0173"/>
    <w:rsid w:val="002F7FE3"/>
    <w:rsid w:val="00310029"/>
    <w:rsid w:val="003225D6"/>
    <w:rsid w:val="00347642"/>
    <w:rsid w:val="00360D90"/>
    <w:rsid w:val="003639D9"/>
    <w:rsid w:val="00374976"/>
    <w:rsid w:val="00385884"/>
    <w:rsid w:val="00396287"/>
    <w:rsid w:val="003A6C28"/>
    <w:rsid w:val="003B1E50"/>
    <w:rsid w:val="003B7279"/>
    <w:rsid w:val="003C072E"/>
    <w:rsid w:val="003D0871"/>
    <w:rsid w:val="003D2A9D"/>
    <w:rsid w:val="003E7982"/>
    <w:rsid w:val="00411945"/>
    <w:rsid w:val="00416065"/>
    <w:rsid w:val="004203F1"/>
    <w:rsid w:val="00421CB7"/>
    <w:rsid w:val="00421D50"/>
    <w:rsid w:val="00424A55"/>
    <w:rsid w:val="004445D9"/>
    <w:rsid w:val="00454103"/>
    <w:rsid w:val="00454522"/>
    <w:rsid w:val="00456AE0"/>
    <w:rsid w:val="00465A35"/>
    <w:rsid w:val="004B3AF2"/>
    <w:rsid w:val="004C0EED"/>
    <w:rsid w:val="004C505D"/>
    <w:rsid w:val="004C5FCF"/>
    <w:rsid w:val="004C7919"/>
    <w:rsid w:val="004D3814"/>
    <w:rsid w:val="004D7169"/>
    <w:rsid w:val="004F7941"/>
    <w:rsid w:val="005253A4"/>
    <w:rsid w:val="00546244"/>
    <w:rsid w:val="005765F4"/>
    <w:rsid w:val="0059119C"/>
    <w:rsid w:val="005C08D6"/>
    <w:rsid w:val="005D1D8C"/>
    <w:rsid w:val="005D55F6"/>
    <w:rsid w:val="005E7609"/>
    <w:rsid w:val="005F4D9D"/>
    <w:rsid w:val="0061505F"/>
    <w:rsid w:val="00620B1C"/>
    <w:rsid w:val="00624614"/>
    <w:rsid w:val="00642D3E"/>
    <w:rsid w:val="006449E8"/>
    <w:rsid w:val="0065326F"/>
    <w:rsid w:val="00653A72"/>
    <w:rsid w:val="00653F41"/>
    <w:rsid w:val="00656109"/>
    <w:rsid w:val="00687F3F"/>
    <w:rsid w:val="006A141E"/>
    <w:rsid w:val="006B65EA"/>
    <w:rsid w:val="006B7952"/>
    <w:rsid w:val="006C7BA4"/>
    <w:rsid w:val="006D3A26"/>
    <w:rsid w:val="006E723C"/>
    <w:rsid w:val="006F034A"/>
    <w:rsid w:val="007051B9"/>
    <w:rsid w:val="00740EF3"/>
    <w:rsid w:val="00742864"/>
    <w:rsid w:val="0075189E"/>
    <w:rsid w:val="0078341F"/>
    <w:rsid w:val="007872D3"/>
    <w:rsid w:val="007C1E28"/>
    <w:rsid w:val="007C36BA"/>
    <w:rsid w:val="007D08A8"/>
    <w:rsid w:val="007D1577"/>
    <w:rsid w:val="007D2123"/>
    <w:rsid w:val="007E08D9"/>
    <w:rsid w:val="007E440D"/>
    <w:rsid w:val="007E60C0"/>
    <w:rsid w:val="0080210C"/>
    <w:rsid w:val="00821D62"/>
    <w:rsid w:val="00835060"/>
    <w:rsid w:val="00845612"/>
    <w:rsid w:val="008474B3"/>
    <w:rsid w:val="00875C44"/>
    <w:rsid w:val="00893445"/>
    <w:rsid w:val="008B3994"/>
    <w:rsid w:val="008B4DE4"/>
    <w:rsid w:val="008D14C0"/>
    <w:rsid w:val="008D5BE3"/>
    <w:rsid w:val="009021B8"/>
    <w:rsid w:val="00913B8B"/>
    <w:rsid w:val="00926A44"/>
    <w:rsid w:val="009317D5"/>
    <w:rsid w:val="00944F88"/>
    <w:rsid w:val="00952624"/>
    <w:rsid w:val="009620E0"/>
    <w:rsid w:val="0097459B"/>
    <w:rsid w:val="00986FB3"/>
    <w:rsid w:val="009C6307"/>
    <w:rsid w:val="009E0A83"/>
    <w:rsid w:val="009E1B6C"/>
    <w:rsid w:val="00A10BF9"/>
    <w:rsid w:val="00A41C63"/>
    <w:rsid w:val="00A520F4"/>
    <w:rsid w:val="00A55FE8"/>
    <w:rsid w:val="00A83075"/>
    <w:rsid w:val="00A86B87"/>
    <w:rsid w:val="00A9106D"/>
    <w:rsid w:val="00A91493"/>
    <w:rsid w:val="00A9432A"/>
    <w:rsid w:val="00B037DD"/>
    <w:rsid w:val="00B12726"/>
    <w:rsid w:val="00B30AD5"/>
    <w:rsid w:val="00B43A13"/>
    <w:rsid w:val="00B475E9"/>
    <w:rsid w:val="00B65D34"/>
    <w:rsid w:val="00B70066"/>
    <w:rsid w:val="00B82BF8"/>
    <w:rsid w:val="00B91964"/>
    <w:rsid w:val="00B9264A"/>
    <w:rsid w:val="00BA37F5"/>
    <w:rsid w:val="00BA4D63"/>
    <w:rsid w:val="00BB21DC"/>
    <w:rsid w:val="00BB5FA8"/>
    <w:rsid w:val="00BC691C"/>
    <w:rsid w:val="00BD1437"/>
    <w:rsid w:val="00BE1AC6"/>
    <w:rsid w:val="00BF031B"/>
    <w:rsid w:val="00C0788A"/>
    <w:rsid w:val="00C411E0"/>
    <w:rsid w:val="00C41DEF"/>
    <w:rsid w:val="00C44D61"/>
    <w:rsid w:val="00C45FD6"/>
    <w:rsid w:val="00C54870"/>
    <w:rsid w:val="00C82D79"/>
    <w:rsid w:val="00C92654"/>
    <w:rsid w:val="00C92BEC"/>
    <w:rsid w:val="00CA61D9"/>
    <w:rsid w:val="00CA6297"/>
    <w:rsid w:val="00CA6646"/>
    <w:rsid w:val="00CC2D4F"/>
    <w:rsid w:val="00CC58DE"/>
    <w:rsid w:val="00CD0B67"/>
    <w:rsid w:val="00CE654F"/>
    <w:rsid w:val="00CE6800"/>
    <w:rsid w:val="00D008BE"/>
    <w:rsid w:val="00D0458E"/>
    <w:rsid w:val="00D1249E"/>
    <w:rsid w:val="00D21288"/>
    <w:rsid w:val="00D5274B"/>
    <w:rsid w:val="00D549AD"/>
    <w:rsid w:val="00D77394"/>
    <w:rsid w:val="00D879DD"/>
    <w:rsid w:val="00DA2FA8"/>
    <w:rsid w:val="00DB17C8"/>
    <w:rsid w:val="00DB5286"/>
    <w:rsid w:val="00DC2D82"/>
    <w:rsid w:val="00DC2FBB"/>
    <w:rsid w:val="00DE5E04"/>
    <w:rsid w:val="00DF1921"/>
    <w:rsid w:val="00E0038E"/>
    <w:rsid w:val="00E034E0"/>
    <w:rsid w:val="00E15A38"/>
    <w:rsid w:val="00E25EDF"/>
    <w:rsid w:val="00E2760E"/>
    <w:rsid w:val="00E35934"/>
    <w:rsid w:val="00E41D21"/>
    <w:rsid w:val="00E44220"/>
    <w:rsid w:val="00E542C2"/>
    <w:rsid w:val="00E5562B"/>
    <w:rsid w:val="00E71DE9"/>
    <w:rsid w:val="00E776E7"/>
    <w:rsid w:val="00E97EFC"/>
    <w:rsid w:val="00EB3AAA"/>
    <w:rsid w:val="00EB4FB1"/>
    <w:rsid w:val="00EC1412"/>
    <w:rsid w:val="00ED3EED"/>
    <w:rsid w:val="00EE2403"/>
    <w:rsid w:val="00EE5BCA"/>
    <w:rsid w:val="00EF5FA4"/>
    <w:rsid w:val="00F30AEF"/>
    <w:rsid w:val="00F42577"/>
    <w:rsid w:val="00F61868"/>
    <w:rsid w:val="00F6189F"/>
    <w:rsid w:val="00F838B7"/>
    <w:rsid w:val="00F92988"/>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paragraph" w:customStyle="1" w:styleId="Body1">
    <w:name w:val="Body 1"/>
    <w:basedOn w:val="Normal"/>
    <w:rsid w:val="00F92988"/>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 w:type="paragraph" w:customStyle="1" w:styleId="Body2">
    <w:name w:val="Body 2"/>
    <w:basedOn w:val="Normal"/>
    <w:rsid w:val="00F92988"/>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 w:type="paragraph" w:customStyle="1" w:styleId="Default">
    <w:name w:val="Default"/>
    <w:rsid w:val="008474B3"/>
    <w:pPr>
      <w:autoSpaceDE w:val="0"/>
      <w:autoSpaceDN w:val="0"/>
      <w:adjustRightInd w:val="0"/>
      <w:spacing w:after="0" w:line="240" w:lineRule="auto"/>
    </w:pPr>
    <w:rPr>
      <w:rFonts w:eastAsiaTheme="minorEastAsia" w:cs="Arial"/>
      <w:color w:val="000000"/>
      <w:szCs w:val="24"/>
      <w:lang w:eastAsia="en-GB"/>
    </w:rPr>
  </w:style>
  <w:style w:type="table" w:styleId="GridTable4-Accent1">
    <w:name w:val="Grid Table 4 Accent 1"/>
    <w:basedOn w:val="TableNormal"/>
    <w:uiPriority w:val="49"/>
    <w:rsid w:val="008474B3"/>
    <w:pPr>
      <w:spacing w:after="0" w:line="240" w:lineRule="auto"/>
    </w:pPr>
    <w:rPr>
      <w:rFonts w:asciiTheme="minorHAnsi" w:eastAsiaTheme="minorEastAsia" w:hAnsiTheme="minorHAnsi"/>
      <w:sz w:val="22"/>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620E0"/>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3368">
      <w:bodyDiv w:val="1"/>
      <w:marLeft w:val="0"/>
      <w:marRight w:val="0"/>
      <w:marTop w:val="0"/>
      <w:marBottom w:val="0"/>
      <w:divBdr>
        <w:top w:val="none" w:sz="0" w:space="0" w:color="auto"/>
        <w:left w:val="none" w:sz="0" w:space="0" w:color="auto"/>
        <w:bottom w:val="none" w:sz="0" w:space="0" w:color="auto"/>
        <w:right w:val="none" w:sz="0" w:space="0" w:color="auto"/>
      </w:divBdr>
    </w:div>
    <w:div w:id="403260814">
      <w:bodyDiv w:val="1"/>
      <w:marLeft w:val="0"/>
      <w:marRight w:val="0"/>
      <w:marTop w:val="0"/>
      <w:marBottom w:val="0"/>
      <w:divBdr>
        <w:top w:val="none" w:sz="0" w:space="0" w:color="auto"/>
        <w:left w:val="none" w:sz="0" w:space="0" w:color="auto"/>
        <w:bottom w:val="none" w:sz="0" w:space="0" w:color="auto"/>
        <w:right w:val="none" w:sz="0" w:space="0" w:color="auto"/>
      </w:divBdr>
    </w:div>
    <w:div w:id="489061064">
      <w:bodyDiv w:val="1"/>
      <w:marLeft w:val="0"/>
      <w:marRight w:val="0"/>
      <w:marTop w:val="0"/>
      <w:marBottom w:val="0"/>
      <w:divBdr>
        <w:top w:val="none" w:sz="0" w:space="0" w:color="auto"/>
        <w:left w:val="none" w:sz="0" w:space="0" w:color="auto"/>
        <w:bottom w:val="none" w:sz="0" w:space="0" w:color="auto"/>
        <w:right w:val="none" w:sz="0" w:space="0" w:color="auto"/>
      </w:divBdr>
    </w:div>
    <w:div w:id="555051304">
      <w:bodyDiv w:val="1"/>
      <w:marLeft w:val="0"/>
      <w:marRight w:val="0"/>
      <w:marTop w:val="0"/>
      <w:marBottom w:val="0"/>
      <w:divBdr>
        <w:top w:val="none" w:sz="0" w:space="0" w:color="auto"/>
        <w:left w:val="none" w:sz="0" w:space="0" w:color="auto"/>
        <w:bottom w:val="none" w:sz="0" w:space="0" w:color="auto"/>
        <w:right w:val="none" w:sz="0" w:space="0" w:color="auto"/>
      </w:divBdr>
    </w:div>
    <w:div w:id="555509023">
      <w:bodyDiv w:val="1"/>
      <w:marLeft w:val="0"/>
      <w:marRight w:val="0"/>
      <w:marTop w:val="0"/>
      <w:marBottom w:val="0"/>
      <w:divBdr>
        <w:top w:val="none" w:sz="0" w:space="0" w:color="auto"/>
        <w:left w:val="none" w:sz="0" w:space="0" w:color="auto"/>
        <w:bottom w:val="none" w:sz="0" w:space="0" w:color="auto"/>
        <w:right w:val="none" w:sz="0" w:space="0" w:color="auto"/>
      </w:divBdr>
    </w:div>
    <w:div w:id="645474300">
      <w:bodyDiv w:val="1"/>
      <w:marLeft w:val="0"/>
      <w:marRight w:val="0"/>
      <w:marTop w:val="0"/>
      <w:marBottom w:val="0"/>
      <w:divBdr>
        <w:top w:val="none" w:sz="0" w:space="0" w:color="auto"/>
        <w:left w:val="none" w:sz="0" w:space="0" w:color="auto"/>
        <w:bottom w:val="none" w:sz="0" w:space="0" w:color="auto"/>
        <w:right w:val="none" w:sz="0" w:space="0" w:color="auto"/>
      </w:divBdr>
    </w:div>
    <w:div w:id="872233837">
      <w:bodyDiv w:val="1"/>
      <w:marLeft w:val="0"/>
      <w:marRight w:val="0"/>
      <w:marTop w:val="0"/>
      <w:marBottom w:val="0"/>
      <w:divBdr>
        <w:top w:val="none" w:sz="0" w:space="0" w:color="auto"/>
        <w:left w:val="none" w:sz="0" w:space="0" w:color="auto"/>
        <w:bottom w:val="none" w:sz="0" w:space="0" w:color="auto"/>
        <w:right w:val="none" w:sz="0" w:space="0" w:color="auto"/>
      </w:divBdr>
    </w:div>
    <w:div w:id="972634461">
      <w:bodyDiv w:val="1"/>
      <w:marLeft w:val="0"/>
      <w:marRight w:val="0"/>
      <w:marTop w:val="0"/>
      <w:marBottom w:val="0"/>
      <w:divBdr>
        <w:top w:val="none" w:sz="0" w:space="0" w:color="auto"/>
        <w:left w:val="none" w:sz="0" w:space="0" w:color="auto"/>
        <w:bottom w:val="none" w:sz="0" w:space="0" w:color="auto"/>
        <w:right w:val="none" w:sz="0" w:space="0" w:color="auto"/>
      </w:divBdr>
    </w:div>
    <w:div w:id="1065025652">
      <w:bodyDiv w:val="1"/>
      <w:marLeft w:val="0"/>
      <w:marRight w:val="0"/>
      <w:marTop w:val="0"/>
      <w:marBottom w:val="0"/>
      <w:divBdr>
        <w:top w:val="none" w:sz="0" w:space="0" w:color="auto"/>
        <w:left w:val="none" w:sz="0" w:space="0" w:color="auto"/>
        <w:bottom w:val="none" w:sz="0" w:space="0" w:color="auto"/>
        <w:right w:val="none" w:sz="0" w:space="0" w:color="auto"/>
      </w:divBdr>
    </w:div>
    <w:div w:id="1148673396">
      <w:bodyDiv w:val="1"/>
      <w:marLeft w:val="0"/>
      <w:marRight w:val="0"/>
      <w:marTop w:val="0"/>
      <w:marBottom w:val="0"/>
      <w:divBdr>
        <w:top w:val="none" w:sz="0" w:space="0" w:color="auto"/>
        <w:left w:val="none" w:sz="0" w:space="0" w:color="auto"/>
        <w:bottom w:val="none" w:sz="0" w:space="0" w:color="auto"/>
        <w:right w:val="none" w:sz="0" w:space="0" w:color="auto"/>
      </w:divBdr>
    </w:div>
    <w:div w:id="1217158457">
      <w:bodyDiv w:val="1"/>
      <w:marLeft w:val="0"/>
      <w:marRight w:val="0"/>
      <w:marTop w:val="0"/>
      <w:marBottom w:val="0"/>
      <w:divBdr>
        <w:top w:val="none" w:sz="0" w:space="0" w:color="auto"/>
        <w:left w:val="none" w:sz="0" w:space="0" w:color="auto"/>
        <w:bottom w:val="none" w:sz="0" w:space="0" w:color="auto"/>
        <w:right w:val="none" w:sz="0" w:space="0" w:color="auto"/>
      </w:divBdr>
    </w:div>
    <w:div w:id="1302228661">
      <w:bodyDiv w:val="1"/>
      <w:marLeft w:val="0"/>
      <w:marRight w:val="0"/>
      <w:marTop w:val="0"/>
      <w:marBottom w:val="0"/>
      <w:divBdr>
        <w:top w:val="none" w:sz="0" w:space="0" w:color="auto"/>
        <w:left w:val="none" w:sz="0" w:space="0" w:color="auto"/>
        <w:bottom w:val="none" w:sz="0" w:space="0" w:color="auto"/>
        <w:right w:val="none" w:sz="0" w:space="0" w:color="auto"/>
      </w:divBdr>
    </w:div>
    <w:div w:id="1393889087">
      <w:bodyDiv w:val="1"/>
      <w:marLeft w:val="0"/>
      <w:marRight w:val="0"/>
      <w:marTop w:val="0"/>
      <w:marBottom w:val="0"/>
      <w:divBdr>
        <w:top w:val="none" w:sz="0" w:space="0" w:color="auto"/>
        <w:left w:val="none" w:sz="0" w:space="0" w:color="auto"/>
        <w:bottom w:val="none" w:sz="0" w:space="0" w:color="auto"/>
        <w:right w:val="none" w:sz="0" w:space="0" w:color="auto"/>
      </w:divBdr>
    </w:div>
    <w:div w:id="1475415972">
      <w:bodyDiv w:val="1"/>
      <w:marLeft w:val="0"/>
      <w:marRight w:val="0"/>
      <w:marTop w:val="0"/>
      <w:marBottom w:val="0"/>
      <w:divBdr>
        <w:top w:val="none" w:sz="0" w:space="0" w:color="auto"/>
        <w:left w:val="none" w:sz="0" w:space="0" w:color="auto"/>
        <w:bottom w:val="none" w:sz="0" w:space="0" w:color="auto"/>
        <w:right w:val="none" w:sz="0" w:space="0" w:color="auto"/>
      </w:divBdr>
    </w:div>
    <w:div w:id="1690788502">
      <w:bodyDiv w:val="1"/>
      <w:marLeft w:val="0"/>
      <w:marRight w:val="0"/>
      <w:marTop w:val="0"/>
      <w:marBottom w:val="0"/>
      <w:divBdr>
        <w:top w:val="none" w:sz="0" w:space="0" w:color="auto"/>
        <w:left w:val="none" w:sz="0" w:space="0" w:color="auto"/>
        <w:bottom w:val="none" w:sz="0" w:space="0" w:color="auto"/>
        <w:right w:val="none" w:sz="0" w:space="0" w:color="auto"/>
      </w:divBdr>
    </w:div>
    <w:div w:id="1698851866">
      <w:bodyDiv w:val="1"/>
      <w:marLeft w:val="0"/>
      <w:marRight w:val="0"/>
      <w:marTop w:val="0"/>
      <w:marBottom w:val="0"/>
      <w:divBdr>
        <w:top w:val="none" w:sz="0" w:space="0" w:color="auto"/>
        <w:left w:val="none" w:sz="0" w:space="0" w:color="auto"/>
        <w:bottom w:val="none" w:sz="0" w:space="0" w:color="auto"/>
        <w:right w:val="none" w:sz="0" w:space="0" w:color="auto"/>
      </w:divBdr>
    </w:div>
    <w:div w:id="19654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3.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Lesley Carr</cp:lastModifiedBy>
  <cp:revision>3</cp:revision>
  <cp:lastPrinted>2022-08-25T10:49:00Z</cp:lastPrinted>
  <dcterms:created xsi:type="dcterms:W3CDTF">2023-09-17T15:56:00Z</dcterms:created>
  <dcterms:modified xsi:type="dcterms:W3CDTF">2023-10-02T13:46:00Z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